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left"/>
        <w:rPr>
          <w:rFonts w:hint="eastAsia" w:ascii="方正小标宋_GBK" w:hAnsi="方正小标宋_GBK" w:eastAsia="方正小标宋_GBK" w:cs="方正小标宋_GBK"/>
          <w:sz w:val="32"/>
          <w:szCs w:val="32"/>
          <w:lang w:val="en-US" w:eastAsia="zh-CN"/>
        </w:rPr>
      </w:pPr>
    </w:p>
    <w:p>
      <w:pPr>
        <w:spacing w:line="620" w:lineRule="exact"/>
        <w:jc w:val="cente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包头满都拉电业有限责任公司2023年材料框架招标项目（</w:t>
      </w:r>
      <w:r>
        <w:rPr>
          <w:rFonts w:hint="eastAsia" w:asciiTheme="minorEastAsia" w:hAnsiTheme="minorEastAsia" w:cstheme="minorEastAsia"/>
          <w:b/>
          <w:bCs/>
          <w:sz w:val="28"/>
          <w:szCs w:val="28"/>
          <w:lang w:val="en-US" w:eastAsia="zh-CN"/>
        </w:rPr>
        <w:t>五</w:t>
      </w:r>
      <w:bookmarkStart w:id="0" w:name="_GoBack"/>
      <w:bookmarkEnd w:id="0"/>
      <w:r>
        <w:rPr>
          <w:rFonts w:hint="eastAsia" w:asciiTheme="minorEastAsia" w:hAnsiTheme="minorEastAsia" w:eastAsiaTheme="minorEastAsia" w:cstheme="minorEastAsia"/>
          <w:b/>
          <w:bCs/>
          <w:sz w:val="28"/>
          <w:szCs w:val="28"/>
          <w:lang w:val="en-US" w:eastAsia="zh-CN"/>
        </w:rPr>
        <w:t>次）</w:t>
      </w:r>
    </w:p>
    <w:p>
      <w:pPr>
        <w:spacing w:line="620" w:lineRule="exact"/>
        <w:jc w:val="cente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中标候选人公示</w:t>
      </w:r>
    </w:p>
    <w:p>
      <w:pPr>
        <w:spacing w:line="360" w:lineRule="auto"/>
        <w:jc w:val="center"/>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（项目编号：ZDGX-2023BTGD40）</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以下内容禁止转载或擅自修改编辑后发布，否则将依法追究侵权人侵犯著作权法律责任。</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包头满都拉电业有限责任公司2023年材料框架招标项目（五次）（项目编号：ZDGX-2023BTGD40）评审工作已结束，依据《中华人民共和国招标投标法实施条例》、《招标公告和公示信息发布管理办法》对中标候选人公示的规定，现将评审小组推荐的中标候选人及否决投标</w:t>
      </w:r>
    </w:p>
    <w:tbl>
      <w:tblPr>
        <w:tblStyle w:val="8"/>
        <w:tblpPr w:leftFromText="180" w:rightFromText="180" w:vertAnchor="text" w:horzAnchor="page" w:tblpX="473" w:tblpY="410"/>
        <w:tblOverlap w:val="never"/>
        <w:tblW w:w="56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766"/>
        <w:gridCol w:w="1057"/>
        <w:gridCol w:w="1539"/>
        <w:gridCol w:w="982"/>
        <w:gridCol w:w="1457"/>
        <w:gridCol w:w="1253"/>
        <w:gridCol w:w="1867"/>
        <w:gridCol w:w="1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Align w:val="center"/>
          </w:tcPr>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标段号</w:t>
            </w:r>
          </w:p>
        </w:tc>
        <w:tc>
          <w:tcPr>
            <w:tcW w:w="342" w:type="pct"/>
            <w:vAlign w:val="center"/>
          </w:tcPr>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标段名称</w:t>
            </w:r>
          </w:p>
        </w:tc>
        <w:tc>
          <w:tcPr>
            <w:tcW w:w="473" w:type="pct"/>
            <w:vAlign w:val="center"/>
          </w:tcPr>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中标候选人排序</w:t>
            </w:r>
          </w:p>
        </w:tc>
        <w:tc>
          <w:tcPr>
            <w:tcW w:w="689" w:type="pct"/>
            <w:vAlign w:val="center"/>
          </w:tcPr>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中标候选人名称</w:t>
            </w:r>
          </w:p>
        </w:tc>
        <w:tc>
          <w:tcPr>
            <w:tcW w:w="439" w:type="pct"/>
            <w:vAlign w:val="center"/>
          </w:tcPr>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投标报价</w:t>
            </w:r>
          </w:p>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（万元）</w:t>
            </w:r>
          </w:p>
        </w:tc>
        <w:tc>
          <w:tcPr>
            <w:tcW w:w="652" w:type="pct"/>
            <w:vAlign w:val="center"/>
          </w:tcPr>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质量</w:t>
            </w:r>
          </w:p>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（真实性承诺）</w:t>
            </w:r>
          </w:p>
        </w:tc>
        <w:tc>
          <w:tcPr>
            <w:tcW w:w="561" w:type="pct"/>
            <w:vAlign w:val="center"/>
          </w:tcPr>
          <w:p>
            <w:pPr>
              <w:jc w:val="center"/>
              <w:rPr>
                <w:rFonts w:hint="eastAsia" w:asciiTheme="minorEastAsia" w:hAnsiTheme="minorEastAsia" w:eastAsiaTheme="minorEastAsia" w:cstheme="minorEastAsia"/>
                <w:b/>
                <w:bCs/>
                <w:sz w:val="18"/>
                <w:szCs w:val="18"/>
                <w:lang w:val="en-US" w:eastAsia="zh-CN"/>
              </w:rPr>
            </w:pPr>
            <w:r>
              <w:rPr>
                <w:rFonts w:hint="eastAsia" w:asciiTheme="minorEastAsia" w:hAnsiTheme="minorEastAsia" w:eastAsiaTheme="minorEastAsia" w:cstheme="minorEastAsia"/>
                <w:b/>
                <w:bCs/>
                <w:sz w:val="18"/>
                <w:szCs w:val="18"/>
                <w:lang w:val="en-US" w:eastAsia="zh-CN"/>
              </w:rPr>
              <w:t>工期</w:t>
            </w:r>
          </w:p>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lang w:val="en-US" w:eastAsia="zh-CN"/>
              </w:rPr>
              <w:t>（交货期）</w:t>
            </w:r>
          </w:p>
        </w:tc>
        <w:tc>
          <w:tcPr>
            <w:tcW w:w="835" w:type="pct"/>
            <w:vAlign w:val="center"/>
          </w:tcPr>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响应招标文件要求的资格能力条件情况</w:t>
            </w:r>
          </w:p>
        </w:tc>
        <w:tc>
          <w:tcPr>
            <w:tcW w:w="647" w:type="pct"/>
            <w:vAlign w:val="center"/>
          </w:tcPr>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评标情况</w:t>
            </w:r>
          </w:p>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（综合排序）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Merge w:val="restart"/>
            <w:vAlign w:val="center"/>
          </w:tcPr>
          <w:p>
            <w:pPr>
              <w:jc w:val="center"/>
              <w:rPr>
                <w:rFonts w:hint="default" w:asciiTheme="minorEastAsia" w:hAnsiTheme="minorEastAsia" w:eastAsiaTheme="minorEastAsia" w:cstheme="minorEastAsia"/>
                <w:sz w:val="16"/>
                <w:szCs w:val="16"/>
                <w:vertAlign w:val="baseline"/>
                <w:lang w:val="en-US" w:eastAsia="zh-CN"/>
              </w:rPr>
            </w:pPr>
            <w:r>
              <w:rPr>
                <w:rFonts w:hint="eastAsia" w:asciiTheme="minorEastAsia" w:hAnsiTheme="minorEastAsia" w:cstheme="minorEastAsia"/>
                <w:sz w:val="16"/>
                <w:szCs w:val="16"/>
                <w:vertAlign w:val="baseline"/>
                <w:lang w:val="en-US" w:eastAsia="zh-CN"/>
              </w:rPr>
              <w:t>1</w:t>
            </w:r>
          </w:p>
        </w:tc>
        <w:tc>
          <w:tcPr>
            <w:tcW w:w="342" w:type="pct"/>
            <w:vMerge w:val="restar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cstheme="minorEastAsia"/>
                <w:sz w:val="16"/>
                <w:szCs w:val="16"/>
                <w:vertAlign w:val="baseline"/>
                <w:lang w:val="en-US" w:eastAsia="zh-CN"/>
              </w:rPr>
              <w:t>地脚螺栓</w:t>
            </w:r>
          </w:p>
        </w:tc>
        <w:tc>
          <w:tcPr>
            <w:tcW w:w="473"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第一</w:t>
            </w:r>
          </w:p>
        </w:tc>
        <w:tc>
          <w:tcPr>
            <w:tcW w:w="689"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lang w:val="en-US" w:eastAsia="zh-CN"/>
              </w:rPr>
              <w:t>包头云涛机械制造有限公司</w:t>
            </w:r>
          </w:p>
        </w:tc>
        <w:tc>
          <w:tcPr>
            <w:tcW w:w="439" w:type="pct"/>
            <w:vAlign w:val="center"/>
          </w:tcPr>
          <w:p>
            <w:pPr>
              <w:jc w:val="center"/>
              <w:rPr>
                <w:rFonts w:hint="default" w:asciiTheme="minorEastAsia" w:hAnsiTheme="minorEastAsia" w:eastAsiaTheme="minorEastAsia" w:cstheme="minorEastAsia"/>
                <w:sz w:val="16"/>
                <w:szCs w:val="16"/>
                <w:vertAlign w:val="baseline"/>
                <w:lang w:val="en-US" w:eastAsia="zh-CN"/>
              </w:rPr>
            </w:pPr>
            <w:r>
              <w:rPr>
                <w:rFonts w:hint="default" w:asciiTheme="minorEastAsia" w:hAnsiTheme="minorEastAsia" w:eastAsiaTheme="minorEastAsia" w:cstheme="minorEastAsia"/>
                <w:sz w:val="16"/>
                <w:szCs w:val="16"/>
                <w:vertAlign w:val="baseline"/>
                <w:lang w:val="en-US" w:eastAsia="zh-CN"/>
              </w:rPr>
              <w:t>2</w:t>
            </w:r>
            <w:r>
              <w:rPr>
                <w:rFonts w:hint="eastAsia" w:asciiTheme="minorEastAsia" w:hAnsiTheme="minorEastAsia" w:cstheme="minorEastAsia"/>
                <w:sz w:val="16"/>
                <w:szCs w:val="16"/>
                <w:vertAlign w:val="baseline"/>
                <w:lang w:val="en-US" w:eastAsia="zh-CN"/>
              </w:rPr>
              <w:t>.</w:t>
            </w:r>
            <w:r>
              <w:rPr>
                <w:rFonts w:hint="default" w:asciiTheme="minorEastAsia" w:hAnsiTheme="minorEastAsia" w:eastAsiaTheme="minorEastAsia" w:cstheme="minorEastAsia"/>
                <w:sz w:val="16"/>
                <w:szCs w:val="16"/>
                <w:vertAlign w:val="baseline"/>
                <w:lang w:val="en-US" w:eastAsia="zh-CN"/>
              </w:rPr>
              <w:t>3420</w:t>
            </w:r>
          </w:p>
        </w:tc>
        <w:tc>
          <w:tcPr>
            <w:tcW w:w="652"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满足招标文件要求</w:t>
            </w:r>
          </w:p>
        </w:tc>
        <w:tc>
          <w:tcPr>
            <w:tcW w:w="561"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满足招标文件要求</w:t>
            </w:r>
          </w:p>
        </w:tc>
        <w:tc>
          <w:tcPr>
            <w:tcW w:w="835"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满足招标文件要求</w:t>
            </w:r>
          </w:p>
        </w:tc>
        <w:tc>
          <w:tcPr>
            <w:tcW w:w="647"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lang w:val="en-US" w:eastAsia="zh-CN"/>
              </w:rPr>
              <w:t>综合排序第一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Merge w:val="continue"/>
            <w:vAlign w:val="center"/>
          </w:tcPr>
          <w:p>
            <w:pPr>
              <w:jc w:val="center"/>
              <w:rPr>
                <w:rFonts w:hint="eastAsia" w:asciiTheme="minorEastAsia" w:hAnsiTheme="minorEastAsia" w:eastAsiaTheme="minorEastAsia" w:cstheme="minorEastAsia"/>
                <w:sz w:val="16"/>
                <w:szCs w:val="16"/>
                <w:vertAlign w:val="baseline"/>
                <w:lang w:val="en-US" w:eastAsia="zh-CN"/>
              </w:rPr>
            </w:pPr>
          </w:p>
        </w:tc>
        <w:tc>
          <w:tcPr>
            <w:tcW w:w="342" w:type="pct"/>
            <w:vMerge w:val="continue"/>
            <w:vAlign w:val="center"/>
          </w:tcPr>
          <w:p>
            <w:pPr>
              <w:jc w:val="center"/>
              <w:rPr>
                <w:rFonts w:hint="eastAsia" w:asciiTheme="minorEastAsia" w:hAnsiTheme="minorEastAsia" w:eastAsiaTheme="minorEastAsia" w:cstheme="minorEastAsia"/>
                <w:sz w:val="16"/>
                <w:szCs w:val="16"/>
                <w:vertAlign w:val="baseline"/>
                <w:lang w:val="en-US" w:eastAsia="zh-CN"/>
              </w:rPr>
            </w:pPr>
          </w:p>
        </w:tc>
        <w:tc>
          <w:tcPr>
            <w:tcW w:w="473"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第二</w:t>
            </w:r>
          </w:p>
        </w:tc>
        <w:tc>
          <w:tcPr>
            <w:tcW w:w="689"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包头市平峰精标特种螺丝有限公司</w:t>
            </w:r>
          </w:p>
        </w:tc>
        <w:tc>
          <w:tcPr>
            <w:tcW w:w="439" w:type="pct"/>
            <w:vAlign w:val="center"/>
          </w:tcPr>
          <w:p>
            <w:pPr>
              <w:jc w:val="center"/>
              <w:rPr>
                <w:rFonts w:hint="default" w:asciiTheme="minorEastAsia" w:hAnsiTheme="minorEastAsia" w:eastAsiaTheme="minorEastAsia" w:cstheme="minorEastAsia"/>
                <w:sz w:val="16"/>
                <w:szCs w:val="16"/>
                <w:vertAlign w:val="baseline"/>
                <w:lang w:val="en-US" w:eastAsia="zh-CN"/>
              </w:rPr>
            </w:pPr>
            <w:r>
              <w:rPr>
                <w:rFonts w:hint="eastAsia" w:asciiTheme="minorEastAsia" w:hAnsiTheme="minorEastAsia" w:cstheme="minorEastAsia"/>
                <w:sz w:val="16"/>
                <w:szCs w:val="16"/>
                <w:lang w:val="en-US" w:eastAsia="zh-CN"/>
              </w:rPr>
              <w:t>2.1505</w:t>
            </w:r>
          </w:p>
        </w:tc>
        <w:tc>
          <w:tcPr>
            <w:tcW w:w="652"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满足招标文件要求</w:t>
            </w:r>
          </w:p>
        </w:tc>
        <w:tc>
          <w:tcPr>
            <w:tcW w:w="561"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满足招标文件要求</w:t>
            </w:r>
          </w:p>
        </w:tc>
        <w:tc>
          <w:tcPr>
            <w:tcW w:w="835"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满足招标文件要求</w:t>
            </w:r>
          </w:p>
        </w:tc>
        <w:tc>
          <w:tcPr>
            <w:tcW w:w="647" w:type="pct"/>
            <w:vAlign w:val="center"/>
          </w:tcPr>
          <w:p>
            <w:pPr>
              <w:jc w:val="center"/>
              <w:rPr>
                <w:rFonts w:hint="default"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lang w:val="en-US" w:eastAsia="zh-CN"/>
              </w:rPr>
              <w:t>综合排序第</w:t>
            </w:r>
            <w:r>
              <w:rPr>
                <w:rFonts w:hint="eastAsia" w:asciiTheme="minorEastAsia" w:hAnsiTheme="minorEastAsia" w:cstheme="minorEastAsia"/>
                <w:sz w:val="16"/>
                <w:szCs w:val="16"/>
                <w:lang w:val="en-US" w:eastAsia="zh-CN"/>
              </w:rPr>
              <w:t>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 w:type="pct"/>
            <w:vMerge w:val="continue"/>
            <w:vAlign w:val="center"/>
          </w:tcPr>
          <w:p>
            <w:pPr>
              <w:jc w:val="center"/>
              <w:rPr>
                <w:rFonts w:hint="eastAsia" w:asciiTheme="minorEastAsia" w:hAnsiTheme="minorEastAsia" w:eastAsiaTheme="minorEastAsia" w:cstheme="minorEastAsia"/>
                <w:sz w:val="16"/>
                <w:szCs w:val="16"/>
                <w:vertAlign w:val="baseline"/>
                <w:lang w:val="en-US" w:eastAsia="zh-CN"/>
              </w:rPr>
            </w:pPr>
          </w:p>
        </w:tc>
        <w:tc>
          <w:tcPr>
            <w:tcW w:w="342" w:type="pct"/>
            <w:vMerge w:val="continue"/>
            <w:vAlign w:val="center"/>
          </w:tcPr>
          <w:p>
            <w:pPr>
              <w:jc w:val="center"/>
              <w:rPr>
                <w:rFonts w:hint="eastAsia" w:asciiTheme="minorEastAsia" w:hAnsiTheme="minorEastAsia" w:eastAsiaTheme="minorEastAsia" w:cstheme="minorEastAsia"/>
                <w:sz w:val="16"/>
                <w:szCs w:val="16"/>
                <w:vertAlign w:val="baseline"/>
                <w:lang w:val="en-US" w:eastAsia="zh-CN"/>
              </w:rPr>
            </w:pPr>
          </w:p>
        </w:tc>
        <w:tc>
          <w:tcPr>
            <w:tcW w:w="473"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第三</w:t>
            </w:r>
          </w:p>
        </w:tc>
        <w:tc>
          <w:tcPr>
            <w:tcW w:w="689"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包头市恒通机械制造有限公司</w:t>
            </w:r>
          </w:p>
        </w:tc>
        <w:tc>
          <w:tcPr>
            <w:tcW w:w="439" w:type="pct"/>
            <w:vAlign w:val="center"/>
          </w:tcPr>
          <w:p>
            <w:pPr>
              <w:jc w:val="center"/>
              <w:rPr>
                <w:rFonts w:hint="default" w:asciiTheme="minorEastAsia" w:hAnsiTheme="minorEastAsia" w:eastAsiaTheme="minorEastAsia" w:cstheme="minorEastAsia"/>
                <w:sz w:val="16"/>
                <w:szCs w:val="16"/>
                <w:vertAlign w:val="baseline"/>
                <w:lang w:val="en-US" w:eastAsia="zh-CN"/>
              </w:rPr>
            </w:pPr>
            <w:r>
              <w:rPr>
                <w:rFonts w:hint="eastAsia" w:asciiTheme="minorEastAsia" w:hAnsiTheme="minorEastAsia" w:cstheme="minorEastAsia"/>
                <w:sz w:val="16"/>
                <w:szCs w:val="16"/>
                <w:lang w:val="en-US" w:eastAsia="zh-CN"/>
              </w:rPr>
              <w:t>2.2750</w:t>
            </w:r>
          </w:p>
        </w:tc>
        <w:tc>
          <w:tcPr>
            <w:tcW w:w="652"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满足招标文件要求</w:t>
            </w:r>
          </w:p>
        </w:tc>
        <w:tc>
          <w:tcPr>
            <w:tcW w:w="561"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满足招标文件要求</w:t>
            </w:r>
          </w:p>
        </w:tc>
        <w:tc>
          <w:tcPr>
            <w:tcW w:w="835"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满足招标文件要求</w:t>
            </w:r>
          </w:p>
        </w:tc>
        <w:tc>
          <w:tcPr>
            <w:tcW w:w="647" w:type="pct"/>
            <w:vAlign w:val="center"/>
          </w:tcPr>
          <w:p>
            <w:pPr>
              <w:jc w:val="center"/>
              <w:rPr>
                <w:rFonts w:hint="default"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lang w:val="en-US" w:eastAsia="zh-CN"/>
              </w:rPr>
              <w:t>综合排序第</w:t>
            </w:r>
            <w:r>
              <w:rPr>
                <w:rFonts w:hint="eastAsia" w:asciiTheme="minorEastAsia" w:hAnsiTheme="minorEastAsia" w:cstheme="minorEastAsia"/>
                <w:sz w:val="16"/>
                <w:szCs w:val="16"/>
                <w:lang w:val="en-US" w:eastAsia="zh-CN"/>
              </w:rPr>
              <w:t>三</w:t>
            </w:r>
          </w:p>
        </w:tc>
      </w:tr>
    </w:tbl>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sz w:val="32"/>
          <w:szCs w:val="32"/>
          <w:lang w:val="en-US" w:eastAsia="zh-CN"/>
        </w:rPr>
      </w:pP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3337"/>
        <w:gridCol w:w="4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4" w:type="pct"/>
            <w:vAlign w:val="center"/>
          </w:tcPr>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序号</w:t>
            </w:r>
          </w:p>
        </w:tc>
        <w:tc>
          <w:tcPr>
            <w:tcW w:w="1675" w:type="pct"/>
            <w:vAlign w:val="center"/>
          </w:tcPr>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投标单位名称</w:t>
            </w:r>
          </w:p>
        </w:tc>
        <w:tc>
          <w:tcPr>
            <w:tcW w:w="2469" w:type="pct"/>
            <w:vAlign w:val="center"/>
          </w:tcPr>
          <w:p>
            <w:pPr>
              <w:jc w:val="center"/>
              <w:rPr>
                <w:rFonts w:hint="eastAsia" w:asciiTheme="minorEastAsia" w:hAnsiTheme="minorEastAsia" w:eastAsiaTheme="minorEastAsia" w:cstheme="minorEastAsia"/>
                <w:b/>
                <w:bCs/>
                <w:sz w:val="18"/>
                <w:szCs w:val="18"/>
                <w:vertAlign w:val="baseline"/>
                <w:lang w:val="en-US" w:eastAsia="zh-CN"/>
              </w:rPr>
            </w:pPr>
            <w:r>
              <w:rPr>
                <w:rFonts w:hint="eastAsia" w:asciiTheme="minorEastAsia" w:hAnsiTheme="minorEastAsia" w:eastAsiaTheme="minorEastAsia" w:cstheme="minorEastAsia"/>
                <w:b/>
                <w:bCs/>
                <w:sz w:val="18"/>
                <w:szCs w:val="18"/>
                <w:vertAlign w:val="baseline"/>
                <w:lang w:val="en-US" w:eastAsia="zh-CN"/>
              </w:rPr>
              <w:t>否决原因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854"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lang w:val="en-US" w:eastAsia="zh-CN"/>
              </w:rPr>
              <w:t>1</w:t>
            </w:r>
          </w:p>
        </w:tc>
        <w:tc>
          <w:tcPr>
            <w:tcW w:w="1675" w:type="pct"/>
            <w:vAlign w:val="center"/>
          </w:tcPr>
          <w:p>
            <w:pPr>
              <w:jc w:val="center"/>
              <w:rPr>
                <w:rFonts w:hint="eastAsia" w:asciiTheme="minorEastAsia" w:hAnsiTheme="minorEastAsia" w:eastAsiaTheme="minorEastAsia" w:cstheme="minorEastAsia"/>
                <w:sz w:val="16"/>
                <w:szCs w:val="16"/>
                <w:vertAlign w:val="baseline"/>
                <w:lang w:val="en-US" w:eastAsia="zh-CN"/>
              </w:rPr>
            </w:pPr>
            <w:r>
              <w:rPr>
                <w:rFonts w:ascii="宋体" w:hAnsi="宋体"/>
                <w:sz w:val="16"/>
                <w:szCs w:val="16"/>
              </w:rPr>
              <w:t>内蒙古盛瑞合源电气有限公司</w:t>
            </w:r>
          </w:p>
        </w:tc>
        <w:tc>
          <w:tcPr>
            <w:tcW w:w="2469" w:type="pct"/>
            <w:vAlign w:val="center"/>
          </w:tcPr>
          <w:p>
            <w:pPr>
              <w:jc w:val="center"/>
              <w:rPr>
                <w:rFonts w:hint="default" w:asciiTheme="minorEastAsia" w:hAnsiTheme="minorEastAsia" w:eastAsiaTheme="minorEastAsia" w:cstheme="minorEastAsia"/>
                <w:sz w:val="16"/>
                <w:szCs w:val="16"/>
                <w:vertAlign w:val="baseline"/>
                <w:lang w:val="en-US" w:eastAsia="zh-CN"/>
              </w:rPr>
            </w:pPr>
            <w:r>
              <w:rPr>
                <w:rFonts w:hint="eastAsia" w:asciiTheme="minorEastAsia" w:hAnsiTheme="minorEastAsia" w:cstheme="minorEastAsia"/>
                <w:sz w:val="16"/>
                <w:szCs w:val="16"/>
                <w:vertAlign w:val="baseline"/>
                <w:lang w:val="en-US" w:eastAsia="zh-CN"/>
              </w:rPr>
              <w:t>资格不符</w:t>
            </w:r>
          </w:p>
        </w:tc>
      </w:tr>
    </w:tbl>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投标人或者其他利害关系人对以上评标结果有异议的，请在中标候选人公示期间内向招标人提出。</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根据《中华人民共和国招标投标法》及相关法律法规规定，投标人和直接参与并且与招投标有直接利害关系的当事人有异议的，有权依法进行异议，提出异议时应注意以下事项：</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fldChar w:fldCharType="begin"/>
      </w:r>
      <w:r>
        <w:rPr>
          <w:rFonts w:hint="eastAsia" w:ascii="宋体" w:hAnsi="宋体" w:eastAsia="宋体" w:cs="宋体"/>
          <w:sz w:val="22"/>
          <w:szCs w:val="22"/>
          <w:lang w:val="en-US" w:eastAsia="zh-CN"/>
        </w:rPr>
        <w:instrText xml:space="preserve"> HYPERLINK "mailto:异议必须在本公示结束前以书面形式提出并将符合要求的扫描件发送至邮箱gyszy@nmdlwzgs.cn。" </w:instrText>
      </w:r>
      <w:r>
        <w:rPr>
          <w:rFonts w:hint="eastAsia" w:ascii="宋体" w:hAnsi="宋体" w:eastAsia="宋体" w:cs="宋体"/>
          <w:sz w:val="22"/>
          <w:szCs w:val="22"/>
          <w:lang w:val="en-US" w:eastAsia="zh-CN"/>
        </w:rPr>
        <w:fldChar w:fldCharType="separate"/>
      </w:r>
      <w:r>
        <w:rPr>
          <w:rFonts w:hint="eastAsia" w:ascii="宋体" w:hAnsi="宋体" w:eastAsia="宋体" w:cs="宋体"/>
          <w:sz w:val="22"/>
          <w:szCs w:val="22"/>
          <w:lang w:val="en-US" w:eastAsia="zh-CN"/>
        </w:rPr>
        <w:t>异议必须在本公示结束前以书面形式提出并将符合要求的扫描件发送至邮箱</w:t>
      </w:r>
      <w:r>
        <w:rPr>
          <w:rStyle w:val="10"/>
          <w:rFonts w:hint="eastAsia" w:ascii="宋体" w:hAnsi="宋体" w:eastAsia="宋体" w:cs="宋体"/>
          <w:color w:val="auto"/>
          <w:sz w:val="22"/>
          <w:szCs w:val="22"/>
          <w:u w:val="single"/>
          <w:lang w:val="en-US" w:eastAsia="zh-CN"/>
        </w:rPr>
        <w:t>zdgxbtxmb@163.com</w:t>
      </w:r>
      <w:r>
        <w:rPr>
          <w:rFonts w:hint="eastAsia" w:ascii="宋体" w:hAnsi="宋体" w:eastAsia="宋体" w:cs="宋体"/>
          <w:sz w:val="22"/>
          <w:szCs w:val="22"/>
          <w:lang w:val="en-US" w:eastAsia="zh-CN"/>
        </w:rPr>
        <w:t>；异议受理电话</w:t>
      </w:r>
      <w:r>
        <w:rPr>
          <w:rStyle w:val="10"/>
          <w:rFonts w:hint="eastAsia" w:ascii="宋体" w:hAnsi="宋体" w:eastAsia="宋体" w:cs="宋体"/>
          <w:color w:val="auto"/>
          <w:sz w:val="22"/>
          <w:szCs w:val="22"/>
          <w:u w:val="single"/>
          <w:lang w:val="en-US" w:eastAsia="zh-CN"/>
        </w:rPr>
        <w:t xml:space="preserve">18647380135 </w:t>
      </w:r>
      <w:r>
        <w:rPr>
          <w:rFonts w:hint="eastAsia" w:ascii="宋体" w:hAnsi="宋体" w:eastAsia="宋体" w:cs="宋体"/>
          <w:sz w:val="22"/>
          <w:szCs w:val="22"/>
          <w:lang w:val="en-US" w:eastAsia="zh-CN"/>
        </w:rPr>
        <w:t>（</w:t>
      </w:r>
      <w:r>
        <w:rPr>
          <w:rStyle w:val="10"/>
          <w:rFonts w:hint="eastAsia" w:ascii="宋体" w:hAnsi="宋体" w:eastAsia="宋体" w:cs="宋体"/>
          <w:color w:val="auto"/>
          <w:sz w:val="22"/>
          <w:szCs w:val="22"/>
          <w:u w:val="none"/>
          <w:lang w:val="en-US" w:eastAsia="zh-CN"/>
        </w:rPr>
        <w:t>受理异议时间：</w:t>
      </w:r>
      <w:r>
        <w:rPr>
          <w:rFonts w:hint="eastAsia" w:ascii="宋体" w:hAnsi="宋体" w:eastAsia="宋体" w:cs="宋体"/>
          <w:sz w:val="22"/>
          <w:szCs w:val="22"/>
          <w:lang w:val="en-US" w:eastAsia="zh-CN"/>
        </w:rPr>
        <w:t>工作日上午8:45-12:00、下午14:15-17:30）。</w:t>
      </w:r>
      <w:r>
        <w:rPr>
          <w:rFonts w:hint="eastAsia" w:ascii="宋体" w:hAnsi="宋体" w:eastAsia="宋体" w:cs="宋体"/>
          <w:sz w:val="22"/>
          <w:szCs w:val="22"/>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提出异议时应当提交以下内容：</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⑴异议书</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异议人的姓名、地址、联系人及有效联系方式。</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被异议人的名称等相关信息。</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异议事项的基本事实（清楚明白且有事实依据，禁止主观猜测）。</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相关请求及主张。</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异议事项的有效依据、线索及相关证明材料。</w:t>
      </w:r>
    </w:p>
    <w:p>
      <w:pPr>
        <w:keepNext w:val="0"/>
        <w:keepLines w:val="0"/>
        <w:pageBreakBefore w:val="0"/>
        <w:widowControl w:val="0"/>
        <w:numPr>
          <w:ilvl w:val="0"/>
          <w:numId w:val="0"/>
        </w:numPr>
        <w:kinsoku/>
        <w:wordWrap/>
        <w:overflowPunct/>
        <w:topLinePunct w:val="0"/>
        <w:autoSpaceDE/>
        <w:autoSpaceDN/>
        <w:bidi w:val="0"/>
        <w:adjustRightInd/>
        <w:snapToGrid/>
        <w:ind w:firstLine="440" w:firstLineChars="200"/>
        <w:textAlignment w:val="auto"/>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val="en-US" w:eastAsia="zh-CN"/>
        </w:rPr>
        <w:t>⑵异议授权函</w:t>
      </w:r>
    </w:p>
    <w:p>
      <w:pPr>
        <w:keepNext w:val="0"/>
        <w:keepLines w:val="0"/>
        <w:pageBreakBefore w:val="0"/>
        <w:widowControl w:val="0"/>
        <w:numPr>
          <w:ilvl w:val="0"/>
          <w:numId w:val="0"/>
        </w:numPr>
        <w:kinsoku/>
        <w:wordWrap/>
        <w:overflowPunct/>
        <w:topLinePunct w:val="0"/>
        <w:autoSpaceDE/>
        <w:autoSpaceDN/>
        <w:bidi w:val="0"/>
        <w:adjustRightInd/>
        <w:snapToGrid/>
        <w:ind w:firstLine="440" w:firstLineChars="200"/>
        <w:textAlignment w:val="auto"/>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val="en-US" w:eastAsia="zh-CN"/>
        </w:rPr>
        <w:t>法人及被授权人的有效身份信息、联系电话。</w:t>
      </w:r>
    </w:p>
    <w:p>
      <w:pPr>
        <w:keepNext w:val="0"/>
        <w:keepLines w:val="0"/>
        <w:pageBreakBefore w:val="0"/>
        <w:widowControl w:val="0"/>
        <w:numPr>
          <w:ilvl w:val="0"/>
          <w:numId w:val="0"/>
        </w:numPr>
        <w:kinsoku/>
        <w:wordWrap/>
        <w:overflowPunct/>
        <w:topLinePunct w:val="0"/>
        <w:autoSpaceDE/>
        <w:autoSpaceDN/>
        <w:bidi w:val="0"/>
        <w:adjustRightInd/>
        <w:snapToGrid/>
        <w:ind w:firstLine="440" w:firstLineChars="200"/>
        <w:textAlignment w:val="auto"/>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val="en-US" w:eastAsia="zh-CN"/>
        </w:rPr>
        <w:t>法人及被授权人签字并加盖公章。</w:t>
      </w:r>
    </w:p>
    <w:p>
      <w:pPr>
        <w:keepNext w:val="0"/>
        <w:keepLines w:val="0"/>
        <w:pageBreakBefore w:val="0"/>
        <w:widowControl w:val="0"/>
        <w:numPr>
          <w:ilvl w:val="0"/>
          <w:numId w:val="0"/>
        </w:numPr>
        <w:kinsoku/>
        <w:wordWrap/>
        <w:overflowPunct/>
        <w:topLinePunct w:val="0"/>
        <w:autoSpaceDE/>
        <w:autoSpaceDN/>
        <w:bidi w:val="0"/>
        <w:adjustRightInd/>
        <w:snapToGrid/>
        <w:ind w:firstLine="440" w:firstLineChars="200"/>
        <w:textAlignment w:val="auto"/>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val="en-US" w:eastAsia="zh-CN"/>
        </w:rPr>
        <w:t>⑶营业执照复印件（加盖公章）。</w:t>
      </w:r>
    </w:p>
    <w:p>
      <w:pPr>
        <w:keepNext w:val="0"/>
        <w:keepLines w:val="0"/>
        <w:pageBreakBefore w:val="0"/>
        <w:widowControl w:val="0"/>
        <w:numPr>
          <w:ilvl w:val="0"/>
          <w:numId w:val="0"/>
        </w:numPr>
        <w:kinsoku/>
        <w:wordWrap/>
        <w:overflowPunct/>
        <w:topLinePunct w:val="0"/>
        <w:autoSpaceDE/>
        <w:autoSpaceDN/>
        <w:bidi w:val="0"/>
        <w:adjustRightInd/>
        <w:snapToGrid/>
        <w:ind w:firstLine="440" w:firstLineChars="200"/>
        <w:textAlignment w:val="auto"/>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val="en-US" w:eastAsia="zh-CN"/>
        </w:rPr>
        <w:t>⑷异议真实性承诺函。</w:t>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440" w:firstLineChars="200"/>
        <w:textAlignment w:val="auto"/>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val="en-US" w:eastAsia="zh-CN"/>
        </w:rPr>
        <w:t>下列异议不予接收</w:t>
      </w:r>
    </w:p>
    <w:p>
      <w:pPr>
        <w:keepNext w:val="0"/>
        <w:keepLines w:val="0"/>
        <w:pageBreakBefore w:val="0"/>
        <w:widowControl w:val="0"/>
        <w:numPr>
          <w:ilvl w:val="0"/>
          <w:numId w:val="0"/>
        </w:numPr>
        <w:kinsoku/>
        <w:wordWrap/>
        <w:overflowPunct/>
        <w:topLinePunct w:val="0"/>
        <w:autoSpaceDE/>
        <w:autoSpaceDN/>
        <w:bidi w:val="0"/>
        <w:adjustRightInd/>
        <w:snapToGrid/>
        <w:ind w:firstLine="440" w:firstLineChars="200"/>
        <w:textAlignment w:val="auto"/>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val="en-US" w:eastAsia="zh-CN"/>
        </w:rPr>
        <w:t>⑴在中标结果公示后提出的。</w:t>
      </w:r>
    </w:p>
    <w:p>
      <w:pPr>
        <w:keepNext w:val="0"/>
        <w:keepLines w:val="0"/>
        <w:pageBreakBefore w:val="0"/>
        <w:widowControl w:val="0"/>
        <w:numPr>
          <w:ilvl w:val="0"/>
          <w:numId w:val="0"/>
        </w:numPr>
        <w:kinsoku/>
        <w:wordWrap/>
        <w:overflowPunct/>
        <w:topLinePunct w:val="0"/>
        <w:autoSpaceDE/>
        <w:autoSpaceDN/>
        <w:bidi w:val="0"/>
        <w:adjustRightInd/>
        <w:snapToGrid/>
        <w:ind w:firstLine="440" w:firstLineChars="200"/>
        <w:textAlignment w:val="auto"/>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val="en-US" w:eastAsia="zh-CN"/>
        </w:rPr>
        <w:t>⑵异议人不能证明是所异议招标投标活动的投标人和直接参与并且与招投标活动有着直接利害关系的当事人。</w:t>
      </w:r>
    </w:p>
    <w:p>
      <w:pPr>
        <w:keepNext w:val="0"/>
        <w:keepLines w:val="0"/>
        <w:pageBreakBefore w:val="0"/>
        <w:widowControl w:val="0"/>
        <w:numPr>
          <w:ilvl w:val="0"/>
          <w:numId w:val="0"/>
        </w:numPr>
        <w:kinsoku/>
        <w:wordWrap/>
        <w:overflowPunct/>
        <w:topLinePunct w:val="0"/>
        <w:autoSpaceDE/>
        <w:autoSpaceDN/>
        <w:bidi w:val="0"/>
        <w:adjustRightInd/>
        <w:snapToGrid/>
        <w:ind w:firstLine="440" w:firstLineChars="200"/>
        <w:textAlignment w:val="auto"/>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val="en-US" w:eastAsia="zh-CN"/>
        </w:rPr>
        <w:t>⑶异议事项为异议人主观猜测且未提供有效线索及相关证明文件的。</w:t>
      </w:r>
    </w:p>
    <w:p>
      <w:pPr>
        <w:keepNext w:val="0"/>
        <w:keepLines w:val="0"/>
        <w:pageBreakBefore w:val="0"/>
        <w:widowControl w:val="0"/>
        <w:numPr>
          <w:ilvl w:val="0"/>
          <w:numId w:val="0"/>
        </w:numPr>
        <w:kinsoku/>
        <w:wordWrap/>
        <w:overflowPunct/>
        <w:topLinePunct w:val="0"/>
        <w:autoSpaceDE/>
        <w:autoSpaceDN/>
        <w:bidi w:val="0"/>
        <w:adjustRightInd/>
        <w:snapToGrid/>
        <w:ind w:firstLine="440" w:firstLineChars="200"/>
        <w:textAlignment w:val="auto"/>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val="en-US" w:eastAsia="zh-CN"/>
        </w:rPr>
        <w:t>⑷对异议事项已经答复，且异议人在异议期内没有提出新的证据的。</w:t>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440" w:firstLineChars="200"/>
        <w:textAlignment w:val="auto"/>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val="en-US" w:eastAsia="zh-CN"/>
        </w:rPr>
        <w:t>异议人不得以异议为名排挤竞争对手进行虚假、恶意异议，阻碍招投标活动的正常进行。</w:t>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440" w:firstLineChars="200"/>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color w:val="auto"/>
          <w:sz w:val="22"/>
          <w:szCs w:val="22"/>
          <w:lang w:val="en-US" w:eastAsia="zh-CN"/>
        </w:rPr>
        <w:t>对捏造事实或者提供虚假材料或以匿名信件、电话、短信、微信、电子邮件等方式提出无证据或</w:t>
      </w:r>
      <w:r>
        <w:rPr>
          <w:rFonts w:hint="eastAsia" w:asciiTheme="minorEastAsia" w:hAnsiTheme="minorEastAsia" w:eastAsiaTheme="minorEastAsia" w:cstheme="minorEastAsia"/>
          <w:b/>
          <w:bCs/>
          <w:color w:val="auto"/>
          <w:sz w:val="22"/>
          <w:szCs w:val="22"/>
          <w:lang w:val="en-US" w:eastAsia="zh-CN"/>
        </w:rPr>
        <w:t>不真实异议</w:t>
      </w:r>
      <w:r>
        <w:rPr>
          <w:rFonts w:hint="eastAsia" w:asciiTheme="minorEastAsia" w:hAnsiTheme="minorEastAsia" w:eastAsiaTheme="minorEastAsia" w:cstheme="minorEastAsia"/>
          <w:color w:val="auto"/>
          <w:sz w:val="22"/>
          <w:szCs w:val="22"/>
          <w:lang w:val="en-US" w:eastAsia="zh-CN"/>
        </w:rPr>
        <w:t>、投诉，扰乱公司工作秩序和市场秩序的；对招标人或其他供应商进行诋毁或恶意异议、投诉的，取消其投（中）标资格2年。</w:t>
      </w:r>
    </w:p>
    <w:p>
      <w:pPr>
        <w:keepNext w:val="0"/>
        <w:keepLines w:val="0"/>
        <w:pageBreakBefore w:val="0"/>
        <w:widowControl w:val="0"/>
        <w:numPr>
          <w:ilvl w:val="0"/>
          <w:numId w:val="0"/>
        </w:numPr>
        <w:kinsoku/>
        <w:wordWrap/>
        <w:overflowPunct/>
        <w:topLinePunct w:val="0"/>
        <w:autoSpaceDE/>
        <w:autoSpaceDN/>
        <w:bidi w:val="0"/>
        <w:adjustRightInd/>
        <w:snapToGrid/>
        <w:ind w:leftChars="200"/>
        <w:jc w:val="right"/>
        <w:textAlignment w:val="auto"/>
        <w:rPr>
          <w:rFonts w:hint="eastAsia" w:asciiTheme="minorEastAsia" w:hAnsiTheme="minorEastAsia" w:eastAsiaTheme="minorEastAsia" w:cstheme="minorEastAsia"/>
          <w:sz w:val="22"/>
          <w:szCs w:val="2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200"/>
        <w:jc w:val="right"/>
        <w:textAlignment w:val="auto"/>
        <w:rPr>
          <w:rFonts w:hint="eastAsia" w:ascii="宋体" w:hAnsi="宋体" w:eastAsia="宋体" w:cs="宋体"/>
          <w:sz w:val="22"/>
          <w:szCs w:val="22"/>
          <w:highlight w:val="green"/>
          <w:lang w:val="en-US" w:eastAsia="zh-CN"/>
        </w:rPr>
      </w:pPr>
      <w:r>
        <w:rPr>
          <w:rFonts w:hint="eastAsia" w:ascii="宋体" w:hAnsi="宋体" w:eastAsia="宋体" w:cs="宋体"/>
          <w:sz w:val="22"/>
          <w:szCs w:val="22"/>
          <w:highlight w:val="green"/>
          <w:lang w:val="en-US" w:eastAsia="zh-CN"/>
        </w:rPr>
        <w:t>2024年1月31日</w:t>
      </w:r>
    </w:p>
    <w:p>
      <w:pPr>
        <w:keepNext w:val="0"/>
        <w:keepLines w:val="0"/>
        <w:pageBreakBefore w:val="0"/>
        <w:widowControl w:val="0"/>
        <w:numPr>
          <w:ilvl w:val="0"/>
          <w:numId w:val="0"/>
        </w:numPr>
        <w:kinsoku/>
        <w:wordWrap/>
        <w:overflowPunct/>
        <w:topLinePunct w:val="0"/>
        <w:autoSpaceDE/>
        <w:autoSpaceDN/>
        <w:bidi w:val="0"/>
        <w:adjustRightInd/>
        <w:snapToGrid/>
        <w:ind w:firstLine="3080" w:firstLineChars="1400"/>
        <w:jc w:val="right"/>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招标人：包头满都拉电业有限责任公司</w:t>
      </w:r>
    </w:p>
    <w:p>
      <w:pPr>
        <w:keepNext w:val="0"/>
        <w:keepLines w:val="0"/>
        <w:pageBreakBefore w:val="0"/>
        <w:widowControl w:val="0"/>
        <w:numPr>
          <w:ilvl w:val="0"/>
          <w:numId w:val="0"/>
        </w:numPr>
        <w:kinsoku/>
        <w:wordWrap/>
        <w:overflowPunct/>
        <w:topLinePunct w:val="0"/>
        <w:autoSpaceDE/>
        <w:autoSpaceDN/>
        <w:bidi w:val="0"/>
        <w:adjustRightInd/>
        <w:snapToGrid/>
        <w:ind w:firstLine="3080" w:firstLineChars="1400"/>
        <w:jc w:val="right"/>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招标代理机构：中大国信工程管理有限公司</w:t>
      </w:r>
    </w:p>
    <w:sectPr>
      <w:footerReference r:id="rId3" w:type="default"/>
      <w:pgSz w:w="11906" w:h="16838"/>
      <w:pgMar w:top="1440" w:right="1080" w:bottom="1440" w:left="1080"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方正小标宋_GBK">
    <w:altName w:val="Arial Unicode MS"/>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BEBD6C"/>
    <w:multiLevelType w:val="singleLevel"/>
    <w:tmpl w:val="1EBEBD6C"/>
    <w:lvl w:ilvl="0" w:tentative="0">
      <w:start w:val="1"/>
      <w:numFmt w:val="decimal"/>
      <w:lvlText w:val="%1."/>
      <w:lvlJc w:val="left"/>
      <w:pPr>
        <w:tabs>
          <w:tab w:val="left" w:pos="312"/>
        </w:tabs>
      </w:pPr>
    </w:lvl>
  </w:abstractNum>
  <w:abstractNum w:abstractNumId="1">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12"/>
      <w:suff w:val="nothing"/>
      <w:lvlText w:val="%1.%2.%3　"/>
      <w:lvlJc w:val="left"/>
      <w:pPr>
        <w:ind w:left="1844"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5B504C85"/>
    <w:multiLevelType w:val="multilevel"/>
    <w:tmpl w:val="5B504C85"/>
    <w:lvl w:ilvl="0" w:tentative="0">
      <w:start w:val="1"/>
      <w:numFmt w:val="lowerLetter"/>
      <w:pStyle w:val="15"/>
      <w:lvlText w:val="%1)"/>
      <w:lvlJc w:val="left"/>
      <w:pPr>
        <w:tabs>
          <w:tab w:val="left" w:pos="840"/>
        </w:tabs>
        <w:ind w:left="839" w:hanging="419"/>
      </w:pPr>
      <w:rPr>
        <w:rFonts w:hint="eastAsia" w:ascii="宋体" w:eastAsia="宋体"/>
        <w:b w:val="0"/>
        <w:i w:val="0"/>
        <w:sz w:val="21"/>
        <w:szCs w:val="21"/>
      </w:rPr>
    </w:lvl>
    <w:lvl w:ilvl="1" w:tentative="0">
      <w:start w:val="1"/>
      <w:numFmt w:val="decimal"/>
      <w:pStyle w:val="16"/>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dit="trackedChanges"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2MWUxMzI2MzE1YTMyMDk3ZmNlYjY5NGEzY2ZhMDEifQ=="/>
  </w:docVars>
  <w:rsids>
    <w:rsidRoot w:val="18463C87"/>
    <w:rsid w:val="00E7253A"/>
    <w:rsid w:val="0119785A"/>
    <w:rsid w:val="04B323DF"/>
    <w:rsid w:val="06E415DA"/>
    <w:rsid w:val="0BA73B2E"/>
    <w:rsid w:val="0D346040"/>
    <w:rsid w:val="0DE917A1"/>
    <w:rsid w:val="177D7506"/>
    <w:rsid w:val="180D0283"/>
    <w:rsid w:val="18463C87"/>
    <w:rsid w:val="1B50295E"/>
    <w:rsid w:val="1C6D5651"/>
    <w:rsid w:val="24744815"/>
    <w:rsid w:val="2794527C"/>
    <w:rsid w:val="28493203"/>
    <w:rsid w:val="2AE30667"/>
    <w:rsid w:val="2CCC51B6"/>
    <w:rsid w:val="30467857"/>
    <w:rsid w:val="336011D5"/>
    <w:rsid w:val="33DD1AAD"/>
    <w:rsid w:val="34E142C5"/>
    <w:rsid w:val="364160DD"/>
    <w:rsid w:val="39072D1B"/>
    <w:rsid w:val="3A5741E4"/>
    <w:rsid w:val="3C3022CE"/>
    <w:rsid w:val="3D243E5F"/>
    <w:rsid w:val="3F886FB4"/>
    <w:rsid w:val="41D541E2"/>
    <w:rsid w:val="439A7A7B"/>
    <w:rsid w:val="4415716D"/>
    <w:rsid w:val="44A2483D"/>
    <w:rsid w:val="44B74804"/>
    <w:rsid w:val="44FD7E1C"/>
    <w:rsid w:val="47985975"/>
    <w:rsid w:val="4A815FD2"/>
    <w:rsid w:val="4CBD7A08"/>
    <w:rsid w:val="4E6301AA"/>
    <w:rsid w:val="4EC94EDB"/>
    <w:rsid w:val="530F4E59"/>
    <w:rsid w:val="55DE50EE"/>
    <w:rsid w:val="561A74D1"/>
    <w:rsid w:val="56687250"/>
    <w:rsid w:val="574511BD"/>
    <w:rsid w:val="581974A0"/>
    <w:rsid w:val="581F6921"/>
    <w:rsid w:val="590E7DE9"/>
    <w:rsid w:val="592621F5"/>
    <w:rsid w:val="5EFC2B5B"/>
    <w:rsid w:val="607B63D6"/>
    <w:rsid w:val="614D0F79"/>
    <w:rsid w:val="62331891"/>
    <w:rsid w:val="65DF7832"/>
    <w:rsid w:val="66AD2ABD"/>
    <w:rsid w:val="6C3804B2"/>
    <w:rsid w:val="6C9A2CB0"/>
    <w:rsid w:val="6EDC1FE0"/>
    <w:rsid w:val="72AA3C2E"/>
    <w:rsid w:val="732359D3"/>
    <w:rsid w:val="74A33469"/>
    <w:rsid w:val="75AF085A"/>
    <w:rsid w:val="769B5E92"/>
    <w:rsid w:val="77474076"/>
    <w:rsid w:val="79574721"/>
    <w:rsid w:val="7A8F5AA2"/>
    <w:rsid w:val="7FCC5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next w:val="4"/>
    <w:qFormat/>
    <w:uiPriority w:val="0"/>
    <w:pPr>
      <w:ind w:firstLine="360" w:firstLineChars="200"/>
    </w:pPr>
    <w:rPr>
      <w:sz w:val="18"/>
    </w:rPr>
  </w:style>
  <w:style w:type="paragraph" w:styleId="4">
    <w:name w:val="footnote text"/>
    <w:basedOn w:val="1"/>
    <w:qFormat/>
    <w:uiPriority w:val="0"/>
    <w:pPr>
      <w:snapToGrid w:val="0"/>
      <w:ind w:firstLine="200" w:firstLineChars="200"/>
      <w:jc w:val="left"/>
    </w:pPr>
    <w:rPr>
      <w:rFonts w:ascii="Times New Roman" w:hAnsi="Times New Roman" w:eastAsia="华文仿宋" w:cs="Times New Roman"/>
      <w:kern w:val="0"/>
      <w:sz w:val="18"/>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paragraph" w:customStyle="1" w:styleId="11">
    <w:name w:val="二级无"/>
    <w:basedOn w:val="12"/>
    <w:qFormat/>
    <w:uiPriority w:val="2"/>
    <w:pPr>
      <w:spacing w:beforeLines="0" w:afterLines="0"/>
    </w:pPr>
    <w:rPr>
      <w:rFonts w:ascii="宋体" w:eastAsia="宋体"/>
    </w:rPr>
  </w:style>
  <w:style w:type="paragraph" w:customStyle="1" w:styleId="12">
    <w:name w:val="二级条标题"/>
    <w:basedOn w:val="13"/>
    <w:next w:val="14"/>
    <w:qFormat/>
    <w:uiPriority w:val="2"/>
    <w:pPr>
      <w:numPr>
        <w:ilvl w:val="2"/>
      </w:numPr>
      <w:ind w:left="0"/>
      <w:outlineLvl w:val="3"/>
    </w:pPr>
  </w:style>
  <w:style w:type="paragraph" w:customStyle="1" w:styleId="13">
    <w:name w:val="一级条标题"/>
    <w:next w:val="14"/>
    <w:qFormat/>
    <w:uiPriority w:val="1"/>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14">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5">
    <w:name w:val="字母编号列项（一级）"/>
    <w:qFormat/>
    <w:uiPriority w:val="9"/>
    <w:pPr>
      <w:numPr>
        <w:ilvl w:val="0"/>
        <w:numId w:val="2"/>
      </w:numPr>
      <w:jc w:val="both"/>
    </w:pPr>
    <w:rPr>
      <w:rFonts w:ascii="宋体" w:hAnsi="Times New Roman" w:eastAsia="宋体" w:cs="Times New Roman"/>
      <w:sz w:val="21"/>
      <w:lang w:val="en-US" w:eastAsia="zh-CN" w:bidi="ar-SA"/>
    </w:rPr>
  </w:style>
  <w:style w:type="paragraph" w:customStyle="1" w:styleId="16">
    <w:name w:val="数字编号列项（二级）"/>
    <w:qFormat/>
    <w:uiPriority w:val="10"/>
    <w:pPr>
      <w:numPr>
        <w:ilvl w:val="1"/>
        <w:numId w:val="2"/>
      </w:numPr>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1136</Words>
  <Characters>1173</Characters>
  <Lines>0</Lines>
  <Paragraphs>0</Paragraphs>
  <TotalTime>0</TotalTime>
  <ScaleCrop>false</ScaleCrop>
  <LinksUpToDate>false</LinksUpToDate>
  <CharactersWithSpaces>1195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2023-06-15T01:31:00Z</dcterms:created>
  <dc:creator>昌广野</dc:creator>
  <cp:lastModifiedBy>金  昔。</cp:lastModifiedBy>
  <cp:lastPrinted>2023-09-27T10:03:00Z</cp:lastPrinted>
  <dcterms:modified xsi:type="dcterms:W3CDTF">2024-01-31T06:55:07Z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771E8AE246D74C1EB1DCE6C48A3DF88F_13</vt:lpwstr>
  </property>
</Properties>
</file>