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31B83">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呼和浩特市2025年城镇老旧小区供电设施改造项目（监理）采购</w:t>
      </w:r>
    </w:p>
    <w:p w14:paraId="17A5885E">
      <w:pPr>
        <w:jc w:val="center"/>
        <w:rPr>
          <w:rFonts w:hint="eastAsia" w:ascii="宋体" w:hAnsi="宋体" w:eastAsia="宋体" w:cs="宋体"/>
          <w:b/>
          <w:bCs/>
          <w:sz w:val="28"/>
          <w:szCs w:val="28"/>
        </w:rPr>
      </w:pPr>
      <w:r>
        <w:rPr>
          <w:rFonts w:hint="eastAsia" w:ascii="宋体" w:hAnsi="宋体" w:eastAsia="宋体" w:cs="宋体"/>
          <w:b/>
          <w:bCs/>
          <w:sz w:val="28"/>
          <w:szCs w:val="28"/>
        </w:rPr>
        <w:t>询比采购公告</w:t>
      </w:r>
    </w:p>
    <w:p w14:paraId="05697E85">
      <w:pPr>
        <w:spacing w:line="336" w:lineRule="auto"/>
        <w:ind w:firstLine="482" w:firstLineChars="200"/>
        <w:rPr>
          <w:rFonts w:hint="eastAsia" w:ascii="宋体" w:hAnsi="宋体" w:eastAsia="宋体" w:cs="宋体"/>
          <w:b/>
          <w:sz w:val="24"/>
          <w:szCs w:val="24"/>
        </w:rPr>
      </w:pPr>
      <w:bookmarkStart w:id="0" w:name="_Toc1489"/>
      <w:bookmarkStart w:id="1" w:name="_Toc58406238"/>
      <w:bookmarkStart w:id="2" w:name="_Toc54632629"/>
      <w:bookmarkStart w:id="3" w:name="_Toc13556"/>
      <w:bookmarkStart w:id="4" w:name="_Toc495644242"/>
      <w:bookmarkStart w:id="5" w:name="_Toc13888"/>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4B7EAFDD">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呼和浩特市2025年城镇老旧小区供电设施改造项目（监理）采购</w:t>
      </w:r>
      <w:r>
        <w:rPr>
          <w:rFonts w:hint="eastAsia" w:ascii="宋体" w:hAnsi="宋体" w:eastAsia="宋体" w:cs="宋体"/>
          <w:sz w:val="24"/>
          <w:szCs w:val="24"/>
        </w:rPr>
        <w:t>组织询比采购。现将有关事宜公告如下：</w:t>
      </w:r>
    </w:p>
    <w:p w14:paraId="17730B0E">
      <w:pPr>
        <w:spacing w:line="336" w:lineRule="auto"/>
        <w:ind w:firstLine="482" w:firstLineChars="200"/>
        <w:rPr>
          <w:rFonts w:hint="eastAsia" w:ascii="宋体" w:hAnsi="宋体" w:eastAsia="宋体" w:cs="宋体"/>
          <w:b/>
          <w:sz w:val="24"/>
          <w:szCs w:val="24"/>
        </w:rPr>
      </w:pPr>
      <w:bookmarkStart w:id="6" w:name="_Toc5564"/>
      <w:bookmarkStart w:id="7" w:name="_Toc54632630"/>
      <w:bookmarkStart w:id="8" w:name="_Toc22876"/>
      <w:bookmarkStart w:id="9" w:name="_Toc495644243"/>
      <w:bookmarkStart w:id="10" w:name="_Toc13446"/>
      <w:bookmarkStart w:id="11" w:name="_Toc58406239"/>
      <w:r>
        <w:rPr>
          <w:rFonts w:hint="eastAsia" w:ascii="宋体" w:hAnsi="宋体" w:eastAsia="宋体" w:cs="宋体"/>
          <w:b/>
          <w:sz w:val="24"/>
          <w:szCs w:val="24"/>
        </w:rPr>
        <w:t>2.项目概况与采购范围</w:t>
      </w:r>
      <w:bookmarkEnd w:id="6"/>
      <w:bookmarkEnd w:id="7"/>
      <w:bookmarkEnd w:id="8"/>
      <w:bookmarkEnd w:id="9"/>
      <w:bookmarkEnd w:id="10"/>
      <w:bookmarkEnd w:id="11"/>
    </w:p>
    <w:p w14:paraId="5A33E3E2">
      <w:pPr>
        <w:spacing w:line="336" w:lineRule="auto"/>
        <w:ind w:firstLine="480" w:firstLineChars="200"/>
        <w:rPr>
          <w:rFonts w:hint="eastAsia" w:ascii="宋体" w:hAnsi="宋体" w:eastAsia="仿宋" w:cs="宋体"/>
          <w:sz w:val="24"/>
          <w:szCs w:val="24"/>
          <w:highlight w:val="yellow"/>
          <w:lang w:eastAsia="zh-CN"/>
        </w:rPr>
      </w:pPr>
      <w:r>
        <w:rPr>
          <w:rFonts w:hint="eastAsia" w:ascii="宋体" w:hAnsi="宋体" w:eastAsia="宋体" w:cs="宋体"/>
          <w:sz w:val="24"/>
          <w:szCs w:val="24"/>
        </w:rPr>
        <w:t>2.1采购项目编号:</w:t>
      </w:r>
      <w:r>
        <w:rPr>
          <w:rFonts w:hint="eastAsia"/>
        </w:rPr>
        <w:t xml:space="preserve"> </w:t>
      </w:r>
      <w:r>
        <w:rPr>
          <w:rFonts w:hint="eastAsia" w:ascii="宋体" w:hAnsi="宋体" w:eastAsia="宋体" w:cs="宋体"/>
          <w:sz w:val="24"/>
          <w:szCs w:val="24"/>
          <w:lang w:eastAsia="zh-CN"/>
        </w:rPr>
        <w:t>HG20250104-228</w:t>
      </w:r>
    </w:p>
    <w:p w14:paraId="21D9C7A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b/>
          <w:bCs/>
          <w:sz w:val="24"/>
          <w:szCs w:val="24"/>
          <w:lang w:eastAsia="zh-CN"/>
        </w:rPr>
        <w:t>呼和浩特市2025年城镇老旧小区供电设施改造项目（监理）采购</w:t>
      </w:r>
    </w:p>
    <w:p w14:paraId="48996B33">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2.3本项目共划分为1个标段：</w:t>
      </w:r>
      <w:r>
        <w:rPr>
          <w:rFonts w:hint="eastAsia" w:ascii="宋体" w:hAnsi="宋体" w:eastAsia="宋体" w:cs="宋体"/>
          <w:sz w:val="24"/>
          <w:szCs w:val="24"/>
          <w:lang w:eastAsia="zh-CN"/>
        </w:rPr>
        <w:t>呼和浩特市2025年城镇老旧小区供电设施改造项目（监理）采购</w:t>
      </w:r>
    </w:p>
    <w:p w14:paraId="0CB0BB5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2.4采购内容:</w:t>
      </w:r>
      <w:bookmarkStart w:id="12" w:name="_Toc529"/>
      <w:bookmarkStart w:id="13" w:name="_Toc495644244"/>
    </w:p>
    <w:tbl>
      <w:tblPr>
        <w:tblStyle w:val="22"/>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667"/>
        <w:gridCol w:w="698"/>
        <w:gridCol w:w="652"/>
        <w:gridCol w:w="638"/>
        <w:gridCol w:w="765"/>
        <w:gridCol w:w="2511"/>
        <w:gridCol w:w="1095"/>
        <w:gridCol w:w="1101"/>
      </w:tblGrid>
      <w:tr w14:paraId="3C94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725" w:type="dxa"/>
            <w:shd w:val="clear" w:color="auto" w:fill="auto"/>
            <w:noWrap w:val="0"/>
            <w:vAlign w:val="center"/>
          </w:tcPr>
          <w:p w14:paraId="4FD9A5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招标编号</w:t>
            </w:r>
          </w:p>
        </w:tc>
        <w:tc>
          <w:tcPr>
            <w:tcW w:w="667" w:type="dxa"/>
            <w:shd w:val="clear" w:color="auto" w:fill="auto"/>
            <w:noWrap w:val="0"/>
            <w:vAlign w:val="center"/>
          </w:tcPr>
          <w:p w14:paraId="0F949C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项目名称</w:t>
            </w:r>
          </w:p>
        </w:tc>
        <w:tc>
          <w:tcPr>
            <w:tcW w:w="698" w:type="dxa"/>
            <w:shd w:val="clear" w:color="auto" w:fill="auto"/>
            <w:noWrap w:val="0"/>
            <w:vAlign w:val="center"/>
          </w:tcPr>
          <w:p w14:paraId="2904AF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标段编号</w:t>
            </w:r>
          </w:p>
        </w:tc>
        <w:tc>
          <w:tcPr>
            <w:tcW w:w="652" w:type="dxa"/>
            <w:shd w:val="clear" w:color="auto" w:fill="auto"/>
            <w:noWrap w:val="0"/>
            <w:vAlign w:val="center"/>
          </w:tcPr>
          <w:p w14:paraId="161E01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标段名称</w:t>
            </w:r>
          </w:p>
        </w:tc>
        <w:tc>
          <w:tcPr>
            <w:tcW w:w="638" w:type="dxa"/>
            <w:shd w:val="clear" w:color="auto" w:fill="auto"/>
            <w:noWrap w:val="0"/>
            <w:vAlign w:val="center"/>
          </w:tcPr>
          <w:p w14:paraId="71E180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招标内容</w:t>
            </w:r>
          </w:p>
        </w:tc>
        <w:tc>
          <w:tcPr>
            <w:tcW w:w="765" w:type="dxa"/>
            <w:shd w:val="clear" w:color="auto" w:fill="auto"/>
            <w:noWrap w:val="0"/>
            <w:vAlign w:val="center"/>
          </w:tcPr>
          <w:p w14:paraId="038CAC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子项目</w:t>
            </w:r>
            <w:r>
              <w:rPr>
                <w:rFonts w:hint="eastAsia" w:ascii="宋体" w:hAnsi="宋体" w:eastAsia="宋体" w:cs="宋体"/>
                <w:sz w:val="21"/>
                <w:szCs w:val="21"/>
              </w:rPr>
              <w:t>序号</w:t>
            </w:r>
          </w:p>
        </w:tc>
        <w:tc>
          <w:tcPr>
            <w:tcW w:w="2511" w:type="dxa"/>
            <w:shd w:val="clear" w:color="auto" w:fill="auto"/>
            <w:noWrap w:val="0"/>
            <w:vAlign w:val="center"/>
          </w:tcPr>
          <w:p w14:paraId="123CEF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子项目名称</w:t>
            </w:r>
          </w:p>
        </w:tc>
        <w:tc>
          <w:tcPr>
            <w:tcW w:w="1095" w:type="dxa"/>
            <w:shd w:val="clear" w:color="auto" w:fill="auto"/>
            <w:noWrap w:val="0"/>
            <w:vAlign w:val="center"/>
          </w:tcPr>
          <w:p w14:paraId="43E68F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最高投标</w:t>
            </w:r>
            <w:r>
              <w:rPr>
                <w:rFonts w:hint="eastAsia" w:ascii="宋体" w:hAnsi="宋体" w:eastAsia="宋体" w:cs="宋体"/>
                <w:sz w:val="21"/>
                <w:szCs w:val="21"/>
                <w:lang w:eastAsia="zh-CN"/>
              </w:rPr>
              <w:t>限价</w:t>
            </w:r>
            <w:r>
              <w:rPr>
                <w:rFonts w:hint="eastAsia" w:ascii="宋体" w:hAnsi="宋体" w:eastAsia="宋体" w:cs="宋体"/>
                <w:sz w:val="21"/>
                <w:szCs w:val="21"/>
              </w:rPr>
              <w:t>单价（元）</w:t>
            </w:r>
          </w:p>
        </w:tc>
        <w:tc>
          <w:tcPr>
            <w:tcW w:w="1101" w:type="dxa"/>
            <w:shd w:val="clear" w:color="auto" w:fill="auto"/>
            <w:noWrap w:val="0"/>
            <w:vAlign w:val="center"/>
          </w:tcPr>
          <w:p w14:paraId="64EFC5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最高投标</w:t>
            </w:r>
            <w:r>
              <w:rPr>
                <w:rFonts w:hint="eastAsia" w:ascii="宋体" w:hAnsi="宋体" w:eastAsia="宋体" w:cs="宋体"/>
                <w:sz w:val="21"/>
                <w:szCs w:val="21"/>
                <w:lang w:eastAsia="zh-CN"/>
              </w:rPr>
              <w:t>限价</w:t>
            </w:r>
            <w:r>
              <w:rPr>
                <w:rFonts w:hint="eastAsia" w:ascii="宋体" w:hAnsi="宋体" w:eastAsia="宋体" w:cs="宋体"/>
                <w:sz w:val="21"/>
                <w:szCs w:val="21"/>
              </w:rPr>
              <w:t>总价（元）</w:t>
            </w:r>
          </w:p>
        </w:tc>
      </w:tr>
      <w:tr w14:paraId="1275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25" w:type="dxa"/>
            <w:vMerge w:val="restart"/>
            <w:shd w:val="clear" w:color="auto" w:fill="auto"/>
            <w:noWrap w:val="0"/>
            <w:vAlign w:val="center"/>
          </w:tcPr>
          <w:p w14:paraId="3FAE4D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HG20250104-228</w:t>
            </w:r>
          </w:p>
        </w:tc>
        <w:tc>
          <w:tcPr>
            <w:tcW w:w="667" w:type="dxa"/>
            <w:vMerge w:val="restart"/>
            <w:shd w:val="clear" w:color="auto" w:fill="auto"/>
            <w:noWrap w:val="0"/>
            <w:vAlign w:val="center"/>
          </w:tcPr>
          <w:p w14:paraId="23D518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呼和浩特市2025年城镇老旧小区供电设施改造项目（监理）采购</w:t>
            </w:r>
          </w:p>
        </w:tc>
        <w:tc>
          <w:tcPr>
            <w:tcW w:w="698" w:type="dxa"/>
            <w:vMerge w:val="restart"/>
            <w:shd w:val="clear" w:color="auto" w:fill="auto"/>
            <w:noWrap w:val="0"/>
            <w:vAlign w:val="center"/>
          </w:tcPr>
          <w:p w14:paraId="134AF1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第一标段</w:t>
            </w:r>
          </w:p>
        </w:tc>
        <w:tc>
          <w:tcPr>
            <w:tcW w:w="652" w:type="dxa"/>
            <w:vMerge w:val="restart"/>
            <w:shd w:val="clear" w:color="auto" w:fill="auto"/>
            <w:noWrap w:val="0"/>
            <w:vAlign w:val="center"/>
          </w:tcPr>
          <w:p w14:paraId="27AA0D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呼和浩特市2025年城镇老旧小区供电设施改造项目（监理）采购</w:t>
            </w:r>
          </w:p>
        </w:tc>
        <w:tc>
          <w:tcPr>
            <w:tcW w:w="638" w:type="dxa"/>
            <w:vMerge w:val="restart"/>
            <w:shd w:val="clear" w:color="auto" w:fill="auto"/>
            <w:noWrap w:val="0"/>
            <w:vAlign w:val="center"/>
          </w:tcPr>
          <w:p w14:paraId="647500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呼和浩特市2025年城镇老旧小区供电设施改造项目（监理）</w:t>
            </w:r>
          </w:p>
        </w:tc>
        <w:tc>
          <w:tcPr>
            <w:tcW w:w="765" w:type="dxa"/>
            <w:shd w:val="clear" w:color="auto" w:fill="auto"/>
            <w:noWrap w:val="0"/>
            <w:vAlign w:val="center"/>
          </w:tcPr>
          <w:p w14:paraId="21BD87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2511" w:type="dxa"/>
            <w:shd w:val="clear" w:color="auto" w:fill="auto"/>
            <w:noWrap w:val="0"/>
            <w:vAlign w:val="center"/>
          </w:tcPr>
          <w:p w14:paraId="30B0C8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呼和浩特市2025年城镇老旧小区供电设施改造项目(玉泉供电分公司)</w:t>
            </w:r>
          </w:p>
        </w:tc>
        <w:tc>
          <w:tcPr>
            <w:tcW w:w="1095" w:type="dxa"/>
            <w:shd w:val="clear" w:color="auto" w:fill="auto"/>
            <w:noWrap w:val="0"/>
            <w:vAlign w:val="center"/>
          </w:tcPr>
          <w:p w14:paraId="2A3AF3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119152</w:t>
            </w:r>
          </w:p>
        </w:tc>
        <w:tc>
          <w:tcPr>
            <w:tcW w:w="1101" w:type="dxa"/>
            <w:vMerge w:val="restart"/>
            <w:shd w:val="clear" w:color="auto" w:fill="auto"/>
            <w:noWrap w:val="0"/>
            <w:vAlign w:val="center"/>
          </w:tcPr>
          <w:p w14:paraId="4227B4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494367</w:t>
            </w:r>
          </w:p>
        </w:tc>
      </w:tr>
      <w:tr w14:paraId="01E63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25" w:type="dxa"/>
            <w:vMerge w:val="continue"/>
            <w:shd w:val="clear" w:color="auto" w:fill="auto"/>
            <w:noWrap w:val="0"/>
            <w:vAlign w:val="center"/>
          </w:tcPr>
          <w:p w14:paraId="1EFE93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67" w:type="dxa"/>
            <w:vMerge w:val="continue"/>
            <w:shd w:val="clear" w:color="auto" w:fill="auto"/>
            <w:noWrap w:val="0"/>
            <w:vAlign w:val="center"/>
          </w:tcPr>
          <w:p w14:paraId="622750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98" w:type="dxa"/>
            <w:vMerge w:val="continue"/>
            <w:shd w:val="clear" w:color="auto" w:fill="auto"/>
            <w:noWrap w:val="0"/>
            <w:vAlign w:val="center"/>
          </w:tcPr>
          <w:p w14:paraId="32337F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52" w:type="dxa"/>
            <w:vMerge w:val="continue"/>
            <w:shd w:val="clear" w:color="auto" w:fill="auto"/>
            <w:noWrap w:val="0"/>
            <w:vAlign w:val="center"/>
          </w:tcPr>
          <w:p w14:paraId="207F12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38" w:type="dxa"/>
            <w:vMerge w:val="continue"/>
            <w:shd w:val="clear" w:color="auto" w:fill="auto"/>
            <w:noWrap w:val="0"/>
            <w:vAlign w:val="center"/>
          </w:tcPr>
          <w:p w14:paraId="78F067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765" w:type="dxa"/>
            <w:shd w:val="clear" w:color="auto" w:fill="auto"/>
            <w:noWrap w:val="0"/>
            <w:vAlign w:val="center"/>
          </w:tcPr>
          <w:p w14:paraId="3EED31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511" w:type="dxa"/>
            <w:shd w:val="clear" w:color="auto" w:fill="auto"/>
            <w:noWrap w:val="0"/>
            <w:vAlign w:val="center"/>
          </w:tcPr>
          <w:p w14:paraId="330AE9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呼和浩特市2025年城镇老旧小区供电设施改造项目（回民供电分公司）</w:t>
            </w:r>
          </w:p>
        </w:tc>
        <w:tc>
          <w:tcPr>
            <w:tcW w:w="1095" w:type="dxa"/>
            <w:shd w:val="clear" w:color="auto" w:fill="auto"/>
            <w:noWrap w:val="0"/>
            <w:vAlign w:val="center"/>
          </w:tcPr>
          <w:p w14:paraId="219E3B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67225</w:t>
            </w:r>
          </w:p>
        </w:tc>
        <w:tc>
          <w:tcPr>
            <w:tcW w:w="1101" w:type="dxa"/>
            <w:vMerge w:val="continue"/>
            <w:shd w:val="clear" w:color="auto" w:fill="auto"/>
            <w:noWrap w:val="0"/>
            <w:vAlign w:val="center"/>
          </w:tcPr>
          <w:p w14:paraId="3F2E20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14:paraId="5327D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25" w:type="dxa"/>
            <w:vMerge w:val="continue"/>
            <w:shd w:val="clear" w:color="auto" w:fill="auto"/>
            <w:noWrap w:val="0"/>
            <w:vAlign w:val="center"/>
          </w:tcPr>
          <w:p w14:paraId="5B8FD3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67" w:type="dxa"/>
            <w:vMerge w:val="continue"/>
            <w:shd w:val="clear" w:color="auto" w:fill="auto"/>
            <w:noWrap w:val="0"/>
            <w:vAlign w:val="center"/>
          </w:tcPr>
          <w:p w14:paraId="3E6B51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98" w:type="dxa"/>
            <w:vMerge w:val="continue"/>
            <w:shd w:val="clear" w:color="auto" w:fill="auto"/>
            <w:noWrap w:val="0"/>
            <w:vAlign w:val="center"/>
          </w:tcPr>
          <w:p w14:paraId="59C5F2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52" w:type="dxa"/>
            <w:vMerge w:val="continue"/>
            <w:shd w:val="clear" w:color="auto" w:fill="auto"/>
            <w:noWrap w:val="0"/>
            <w:vAlign w:val="center"/>
          </w:tcPr>
          <w:p w14:paraId="52D8A1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38" w:type="dxa"/>
            <w:vMerge w:val="continue"/>
            <w:shd w:val="clear" w:color="auto" w:fill="auto"/>
            <w:noWrap w:val="0"/>
            <w:vAlign w:val="center"/>
          </w:tcPr>
          <w:p w14:paraId="1378A7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765" w:type="dxa"/>
            <w:shd w:val="clear" w:color="auto" w:fill="auto"/>
            <w:noWrap w:val="0"/>
            <w:vAlign w:val="center"/>
          </w:tcPr>
          <w:p w14:paraId="44119C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2511" w:type="dxa"/>
            <w:shd w:val="clear" w:color="auto" w:fill="auto"/>
            <w:noWrap w:val="0"/>
            <w:vAlign w:val="center"/>
          </w:tcPr>
          <w:p w14:paraId="0F1857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呼和浩特市2025年城镇老旧小区供电设施改造项目（土左供电分公司）</w:t>
            </w:r>
          </w:p>
        </w:tc>
        <w:tc>
          <w:tcPr>
            <w:tcW w:w="1095" w:type="dxa"/>
            <w:shd w:val="clear" w:color="auto" w:fill="auto"/>
            <w:noWrap w:val="0"/>
            <w:vAlign w:val="center"/>
          </w:tcPr>
          <w:p w14:paraId="386FAF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10398</w:t>
            </w:r>
          </w:p>
        </w:tc>
        <w:tc>
          <w:tcPr>
            <w:tcW w:w="1101" w:type="dxa"/>
            <w:vMerge w:val="continue"/>
            <w:shd w:val="clear" w:color="auto" w:fill="auto"/>
            <w:noWrap w:val="0"/>
            <w:vAlign w:val="center"/>
          </w:tcPr>
          <w:p w14:paraId="09F627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14:paraId="25EF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25" w:type="dxa"/>
            <w:vMerge w:val="continue"/>
            <w:shd w:val="clear" w:color="auto" w:fill="auto"/>
            <w:noWrap w:val="0"/>
            <w:vAlign w:val="center"/>
          </w:tcPr>
          <w:p w14:paraId="656E89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67" w:type="dxa"/>
            <w:vMerge w:val="continue"/>
            <w:shd w:val="clear" w:color="auto" w:fill="auto"/>
            <w:noWrap w:val="0"/>
            <w:vAlign w:val="center"/>
          </w:tcPr>
          <w:p w14:paraId="29F2D0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98" w:type="dxa"/>
            <w:vMerge w:val="continue"/>
            <w:shd w:val="clear" w:color="auto" w:fill="auto"/>
            <w:noWrap w:val="0"/>
            <w:vAlign w:val="center"/>
          </w:tcPr>
          <w:p w14:paraId="590284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52" w:type="dxa"/>
            <w:vMerge w:val="continue"/>
            <w:shd w:val="clear" w:color="auto" w:fill="auto"/>
            <w:noWrap w:val="0"/>
            <w:vAlign w:val="center"/>
          </w:tcPr>
          <w:p w14:paraId="6907B2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38" w:type="dxa"/>
            <w:vMerge w:val="continue"/>
            <w:shd w:val="clear" w:color="auto" w:fill="auto"/>
            <w:noWrap w:val="0"/>
            <w:vAlign w:val="center"/>
          </w:tcPr>
          <w:p w14:paraId="7937D5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765" w:type="dxa"/>
            <w:shd w:val="clear" w:color="auto" w:fill="auto"/>
            <w:noWrap w:val="0"/>
            <w:vAlign w:val="center"/>
          </w:tcPr>
          <w:p w14:paraId="7D1746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2511" w:type="dxa"/>
            <w:shd w:val="clear" w:color="auto" w:fill="auto"/>
            <w:noWrap w:val="0"/>
            <w:vAlign w:val="center"/>
          </w:tcPr>
          <w:p w14:paraId="647587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呼和浩特市2025年城镇老旧小区供电设施改造项目(赛罕分公司)</w:t>
            </w:r>
          </w:p>
        </w:tc>
        <w:tc>
          <w:tcPr>
            <w:tcW w:w="1095" w:type="dxa"/>
            <w:shd w:val="clear" w:color="auto" w:fill="auto"/>
            <w:noWrap w:val="0"/>
            <w:vAlign w:val="center"/>
          </w:tcPr>
          <w:p w14:paraId="77A8B6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150991</w:t>
            </w:r>
          </w:p>
        </w:tc>
        <w:tc>
          <w:tcPr>
            <w:tcW w:w="1101" w:type="dxa"/>
            <w:vMerge w:val="continue"/>
            <w:shd w:val="clear" w:color="auto" w:fill="auto"/>
            <w:noWrap w:val="0"/>
            <w:vAlign w:val="center"/>
          </w:tcPr>
          <w:p w14:paraId="2BA429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14:paraId="48C5A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25" w:type="dxa"/>
            <w:vMerge w:val="continue"/>
            <w:shd w:val="clear" w:color="auto" w:fill="auto"/>
            <w:noWrap w:val="0"/>
            <w:vAlign w:val="center"/>
          </w:tcPr>
          <w:p w14:paraId="1122CC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67" w:type="dxa"/>
            <w:vMerge w:val="continue"/>
            <w:shd w:val="clear" w:color="auto" w:fill="auto"/>
            <w:noWrap w:val="0"/>
            <w:vAlign w:val="center"/>
          </w:tcPr>
          <w:p w14:paraId="602B23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98" w:type="dxa"/>
            <w:vMerge w:val="continue"/>
            <w:shd w:val="clear" w:color="auto" w:fill="auto"/>
            <w:noWrap w:val="0"/>
            <w:vAlign w:val="center"/>
          </w:tcPr>
          <w:p w14:paraId="4E2201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52" w:type="dxa"/>
            <w:vMerge w:val="continue"/>
            <w:shd w:val="clear" w:color="auto" w:fill="auto"/>
            <w:noWrap w:val="0"/>
            <w:vAlign w:val="center"/>
          </w:tcPr>
          <w:p w14:paraId="2689CD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38" w:type="dxa"/>
            <w:vMerge w:val="continue"/>
            <w:shd w:val="clear" w:color="auto" w:fill="auto"/>
            <w:noWrap w:val="0"/>
            <w:vAlign w:val="center"/>
          </w:tcPr>
          <w:p w14:paraId="255616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765" w:type="dxa"/>
            <w:shd w:val="clear" w:color="auto" w:fill="auto"/>
            <w:noWrap w:val="0"/>
            <w:vAlign w:val="center"/>
          </w:tcPr>
          <w:p w14:paraId="24FAFE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2511" w:type="dxa"/>
            <w:shd w:val="clear" w:color="auto" w:fill="auto"/>
            <w:noWrap w:val="0"/>
            <w:vAlign w:val="center"/>
          </w:tcPr>
          <w:p w14:paraId="7D8F64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呼和浩特市2025年城镇老旧小区供电设施改造项目(新城供电分公司)</w:t>
            </w:r>
          </w:p>
        </w:tc>
        <w:tc>
          <w:tcPr>
            <w:tcW w:w="1095" w:type="dxa"/>
            <w:shd w:val="clear" w:color="auto" w:fill="auto"/>
            <w:noWrap w:val="0"/>
            <w:vAlign w:val="center"/>
          </w:tcPr>
          <w:p w14:paraId="1452F7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35862</w:t>
            </w:r>
          </w:p>
        </w:tc>
        <w:tc>
          <w:tcPr>
            <w:tcW w:w="1101" w:type="dxa"/>
            <w:vMerge w:val="continue"/>
            <w:shd w:val="clear" w:color="auto" w:fill="auto"/>
            <w:noWrap w:val="0"/>
            <w:vAlign w:val="center"/>
          </w:tcPr>
          <w:p w14:paraId="30AF8C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r w14:paraId="220E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725" w:type="dxa"/>
            <w:vMerge w:val="continue"/>
            <w:shd w:val="clear" w:color="auto" w:fill="auto"/>
            <w:noWrap w:val="0"/>
            <w:vAlign w:val="center"/>
          </w:tcPr>
          <w:p w14:paraId="6375B8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67" w:type="dxa"/>
            <w:vMerge w:val="continue"/>
            <w:shd w:val="clear" w:color="auto" w:fill="auto"/>
            <w:noWrap w:val="0"/>
            <w:vAlign w:val="center"/>
          </w:tcPr>
          <w:p w14:paraId="5B7C70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98" w:type="dxa"/>
            <w:vMerge w:val="continue"/>
            <w:shd w:val="clear" w:color="auto" w:fill="auto"/>
            <w:noWrap w:val="0"/>
            <w:vAlign w:val="center"/>
          </w:tcPr>
          <w:p w14:paraId="2B86EA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52" w:type="dxa"/>
            <w:vMerge w:val="continue"/>
            <w:shd w:val="clear" w:color="auto" w:fill="auto"/>
            <w:noWrap w:val="0"/>
            <w:vAlign w:val="center"/>
          </w:tcPr>
          <w:p w14:paraId="6C2E3D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638" w:type="dxa"/>
            <w:vMerge w:val="continue"/>
            <w:shd w:val="clear" w:color="auto" w:fill="auto"/>
            <w:noWrap w:val="0"/>
            <w:vAlign w:val="center"/>
          </w:tcPr>
          <w:p w14:paraId="64DEB5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c>
          <w:tcPr>
            <w:tcW w:w="765" w:type="dxa"/>
            <w:shd w:val="clear" w:color="auto" w:fill="auto"/>
            <w:noWrap w:val="0"/>
            <w:vAlign w:val="center"/>
          </w:tcPr>
          <w:p w14:paraId="28D7DC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2511" w:type="dxa"/>
            <w:shd w:val="clear" w:color="auto" w:fill="auto"/>
            <w:noWrap w:val="0"/>
            <w:vAlign w:val="center"/>
          </w:tcPr>
          <w:p w14:paraId="020DDC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呼和浩特市2025年城镇老旧小区供电设施改造项目(武川)</w:t>
            </w:r>
          </w:p>
        </w:tc>
        <w:tc>
          <w:tcPr>
            <w:tcW w:w="1095" w:type="dxa"/>
            <w:shd w:val="clear" w:color="auto" w:fill="auto"/>
            <w:noWrap w:val="0"/>
            <w:vAlign w:val="center"/>
          </w:tcPr>
          <w:p w14:paraId="6976E4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110739</w:t>
            </w:r>
          </w:p>
        </w:tc>
        <w:tc>
          <w:tcPr>
            <w:tcW w:w="1101" w:type="dxa"/>
            <w:vMerge w:val="continue"/>
            <w:shd w:val="clear" w:color="auto" w:fill="auto"/>
            <w:noWrap w:val="0"/>
            <w:vAlign w:val="center"/>
          </w:tcPr>
          <w:p w14:paraId="1B8D90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bl>
    <w:p w14:paraId="04058E0D">
      <w:pPr>
        <w:pStyle w:val="2"/>
        <w:rPr>
          <w:rFonts w:hint="default" w:eastAsia="宋体"/>
          <w:b w:val="0"/>
          <w:bCs w:val="0"/>
          <w:sz w:val="24"/>
          <w:szCs w:val="24"/>
          <w:lang w:val="en-US" w:eastAsia="zh-CN"/>
        </w:rPr>
      </w:pPr>
      <w:r>
        <w:rPr>
          <w:rFonts w:hint="eastAsia"/>
          <w:b/>
          <w:bCs/>
          <w:sz w:val="24"/>
          <w:szCs w:val="24"/>
          <w:lang w:val="en-US" w:eastAsia="zh-CN"/>
        </w:rPr>
        <w:t>注：本项目采取子项目及标段限价双限价。</w:t>
      </w:r>
    </w:p>
    <w:p w14:paraId="778CF44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务</w:t>
      </w:r>
      <w:r>
        <w:rPr>
          <w:rFonts w:hint="eastAsia" w:ascii="宋体" w:hAnsi="宋体" w:eastAsia="宋体" w:cs="宋体"/>
          <w:sz w:val="24"/>
          <w:szCs w:val="24"/>
          <w:lang w:val="en-US" w:eastAsia="zh-CN"/>
        </w:rPr>
        <w:t xml:space="preserve"> </w:t>
      </w:r>
      <w:bookmarkStart w:id="63" w:name="_GoBack"/>
      <w:bookmarkEnd w:id="63"/>
      <w:r>
        <w:rPr>
          <w:rFonts w:hint="eastAsia" w:ascii="宋体" w:hAnsi="宋体" w:eastAsia="宋体" w:cs="宋体"/>
          <w:sz w:val="24"/>
          <w:szCs w:val="24"/>
        </w:rPr>
        <w:t>期：合同签订之日起至2025年12月31日</w:t>
      </w:r>
    </w:p>
    <w:p w14:paraId="5E19FC3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2.6服务地点：呼和浩特市</w:t>
      </w:r>
    </w:p>
    <w:p w14:paraId="7EE9ED2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2.7服务质量：</w:t>
      </w:r>
      <w:r>
        <w:rPr>
          <w:rFonts w:hint="eastAsia" w:ascii="宋体" w:hAnsi="宋体" w:eastAsia="宋体" w:cs="宋体"/>
          <w:bCs/>
          <w:sz w:val="24"/>
          <w:szCs w:val="24"/>
        </w:rPr>
        <w:t>达到国家及行业标准，满足采购人要求</w:t>
      </w:r>
    </w:p>
    <w:p w14:paraId="7DF8D09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2.8资金来源：已落实</w:t>
      </w:r>
    </w:p>
    <w:p w14:paraId="27AC7C55">
      <w:pPr>
        <w:spacing w:line="336" w:lineRule="auto"/>
        <w:ind w:left="717" w:leftChars="140" w:hanging="241" w:hangingChars="100"/>
        <w:rPr>
          <w:rFonts w:hint="eastAsia" w:ascii="宋体" w:hAnsi="宋体" w:eastAsia="宋体" w:cs="宋体"/>
          <w:b/>
          <w:sz w:val="24"/>
          <w:szCs w:val="24"/>
        </w:rPr>
      </w:pPr>
      <w:r>
        <w:rPr>
          <w:rFonts w:hint="eastAsia" w:ascii="宋体" w:hAnsi="宋体" w:eastAsia="宋体" w:cs="宋体"/>
          <w:b/>
          <w:sz w:val="24"/>
          <w:szCs w:val="24"/>
        </w:rPr>
        <w:t>注：（1）以上项目具体要求详见采购文件，以采购文件技术部分为准</w:t>
      </w:r>
    </w:p>
    <w:p w14:paraId="35564760">
      <w:pPr>
        <w:spacing w:line="336" w:lineRule="auto"/>
        <w:ind w:firstLine="482" w:firstLineChars="200"/>
        <w:rPr>
          <w:rFonts w:hint="eastAsia" w:ascii="宋体" w:hAnsi="宋体" w:eastAsia="宋体" w:cs="宋体"/>
          <w:b/>
          <w:sz w:val="24"/>
          <w:szCs w:val="24"/>
        </w:rPr>
      </w:pPr>
      <w:bookmarkStart w:id="14" w:name="_Toc6120"/>
      <w:bookmarkStart w:id="15" w:name="_Toc54632631"/>
      <w:bookmarkStart w:id="16" w:name="_Toc8335"/>
      <w:bookmarkStart w:id="17" w:name="_Toc58406240"/>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07753AAB">
      <w:pPr>
        <w:spacing w:line="336" w:lineRule="auto"/>
        <w:ind w:firstLine="482" w:firstLineChars="200"/>
        <w:rPr>
          <w:rFonts w:hint="eastAsia" w:ascii="宋体" w:hAnsi="宋体" w:eastAsia="宋体" w:cs="宋体"/>
          <w:b/>
          <w:sz w:val="24"/>
          <w:szCs w:val="24"/>
        </w:rPr>
      </w:pPr>
      <w:bookmarkStart w:id="18" w:name="_Toc54632632"/>
      <w:bookmarkStart w:id="19" w:name="_Toc23506"/>
      <w:bookmarkStart w:id="20" w:name="_Toc11915"/>
      <w:bookmarkStart w:id="21" w:name="_Toc58406241"/>
      <w:bookmarkStart w:id="22" w:name="_Toc54632633"/>
      <w:bookmarkStart w:id="23" w:name="_Toc20511"/>
      <w:bookmarkStart w:id="24" w:name="_Toc13086"/>
      <w:bookmarkStart w:id="25" w:name="_Toc58406242"/>
      <w:r>
        <w:rPr>
          <w:rFonts w:hint="eastAsia" w:ascii="宋体" w:hAnsi="宋体" w:eastAsia="宋体" w:cs="宋体"/>
          <w:b/>
          <w:sz w:val="24"/>
          <w:szCs w:val="24"/>
        </w:rPr>
        <w:t>3.1通用资格要求</w:t>
      </w:r>
      <w:bookmarkEnd w:id="18"/>
      <w:bookmarkEnd w:id="19"/>
      <w:bookmarkEnd w:id="20"/>
      <w:bookmarkEnd w:id="21"/>
    </w:p>
    <w:p w14:paraId="57DD0311">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3.1.1、本次招标要求供应商须为中华人民共和国境内依法注册的企业法人或其它组织，并在人员、设备、资金等方面具有保障如期完成服务等承担本项目的能力；</w:t>
      </w:r>
    </w:p>
    <w:p w14:paraId="6C296BFC">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14:paraId="0AC5EDFF">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3.1.3、供应商需具有一般纳税人资格（提供一般纳税人登记表或税务局相关网站查询截图等）；</w:t>
      </w:r>
    </w:p>
    <w:p w14:paraId="472DD811">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3.1.4、供应商及其法定代表人在中国裁判文书网（http://wenshu.court.gov.cn/）查询显示近三年</w:t>
      </w:r>
      <w:r>
        <w:rPr>
          <w:rFonts w:hint="eastAsia" w:ascii="宋体" w:hAnsi="宋体" w:eastAsia="宋体" w:cs="仿宋_GB2312"/>
          <w:sz w:val="24"/>
        </w:rPr>
        <w:t>（2022年</w:t>
      </w:r>
      <w:r>
        <w:rPr>
          <w:rFonts w:hint="eastAsia" w:ascii="宋体" w:hAnsi="宋体" w:eastAsia="宋体" w:cs="仿宋_GB2312"/>
          <w:sz w:val="24"/>
          <w:lang w:val="en-US" w:eastAsia="zh-CN"/>
        </w:rPr>
        <w:t>05</w:t>
      </w:r>
      <w:r>
        <w:rPr>
          <w:rFonts w:hint="eastAsia" w:ascii="宋体" w:hAnsi="宋体" w:eastAsia="宋体" w:cs="仿宋_GB2312"/>
          <w:sz w:val="24"/>
        </w:rPr>
        <w:t>月01日至今）</w:t>
      </w:r>
      <w:r>
        <w:rPr>
          <w:rFonts w:hint="eastAsia" w:ascii="宋体" w:hAnsi="宋体" w:eastAsia="宋体" w:cs="仿宋"/>
          <w:sz w:val="24"/>
          <w:szCs w:val="24"/>
        </w:rPr>
        <w:t>没有行贿犯罪记录；</w:t>
      </w:r>
    </w:p>
    <w:p w14:paraId="66CF6F0A">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3.1.5、供应商在“国家企业信用信息公示系统”（http://gsxt.saic.gov.cn/）中未被列入“严重违法失信企业名单（黑名单） ”；</w:t>
      </w:r>
    </w:p>
    <w:p w14:paraId="5B6FE843">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3.1.6、法定代表人或单位负责人为同一人或者存在控股、管理关系的不同单位，不得参加同一标段投标或者未划分标段的同一采购项目投标；</w:t>
      </w:r>
    </w:p>
    <w:p w14:paraId="199D9559">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3.1.7、供应商及其法定代表人不得被人民法院列为失信被执行人，在“中国执行信息公开网”（省份选择全部）（http://zxgk.court.gov.cn/shixin/）中未被列入失信被执行人名单；</w:t>
      </w:r>
    </w:p>
    <w:p w14:paraId="00FF300D">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3.1.8、供应商未被上级部门（内蒙古电力（集团）有限责任公司）通报/披露取消投标资格，且目前不处于处罚期内。按照内蒙古电力（集团）有限责任公司《关于对供应商不良行业处理的通知》的规定，未列入最新发布的不良投标单位名单；</w:t>
      </w:r>
    </w:p>
    <w:p w14:paraId="0E6AF4AC">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3.1.9、供应商被列入中国电力企业联合会公布的“中电联关于公布涉电力领域重点关注对象名单”无资格参与投标；</w:t>
      </w:r>
    </w:p>
    <w:p w14:paraId="413D8156">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3.1.10、供应商未列入内蒙古电力（集团）有限责任公司暂停、取消投（中）标资格、永久取消投（中）标资格名单；</w:t>
      </w:r>
    </w:p>
    <w:p w14:paraId="23ADEA22">
      <w:pPr>
        <w:pStyle w:val="17"/>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3.1.11、本项目不接受联合体投标。</w:t>
      </w:r>
    </w:p>
    <w:p w14:paraId="247D40DA">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54632634"/>
      <w:bookmarkStart w:id="27" w:name="_Toc58406243"/>
      <w:bookmarkStart w:id="28" w:name="_Toc11301"/>
      <w:bookmarkStart w:id="29" w:name="_Toc14058"/>
      <w:r>
        <w:rPr>
          <w:rFonts w:hint="eastAsia" w:ascii="宋体" w:hAnsi="宋体" w:eastAsia="宋体" w:cs="宋体"/>
          <w:b/>
          <w:sz w:val="24"/>
          <w:szCs w:val="24"/>
        </w:rPr>
        <w:t xml:space="preserve"> </w:t>
      </w:r>
    </w:p>
    <w:p w14:paraId="21A05B0F">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3.2.1、投标人须具有住建行政主管部门颁发的【工程监理综合资质或电力工程专业乙级及以上资质证书；且证书在有效期内】；（以上资质为住建部最新资质要求（2020年11月30日建市〔2020〕94号《住房和城乡建设部关于印发建设工程企业资质管理制度改革方案的通知》）。如投标人还未申办以上资质，“投标人须具有工程监理综合资质或电力工程专业二级及以上资质证书；且证书在有效期内”；</w:t>
      </w:r>
    </w:p>
    <w:p w14:paraId="2D1CACD0">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3.2.2、投标人拟派本项目总监理工程师必须具有住建行政主管部门核发的电力工程专业的国家注册监理工程师证书，证书在有效期内（注册单位与投标人单位名称一致）。</w:t>
      </w:r>
    </w:p>
    <w:p w14:paraId="37125D56">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4.报名及采购文件的获取</w:t>
      </w:r>
      <w:bookmarkEnd w:id="26"/>
      <w:bookmarkEnd w:id="27"/>
      <w:bookmarkEnd w:id="28"/>
      <w:bookmarkEnd w:id="29"/>
    </w:p>
    <w:p w14:paraId="27F1C59D">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bookmarkStart w:id="30" w:name="_Toc495644245"/>
      <w:r>
        <w:rPr>
          <w:rFonts w:hint="eastAsia" w:ascii="宋体" w:hAnsi="宋体" w:eastAsia="宋体" w:cs="宋体"/>
          <w:sz w:val="24"/>
          <w:szCs w:val="24"/>
        </w:rPr>
        <w:t>4.1采购文件售价：本项目不收取采购文件费</w:t>
      </w:r>
    </w:p>
    <w:p w14:paraId="076FEF67">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lang w:eastAsia="zh-CN"/>
        </w:rPr>
        <w:t>日至2025年0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9:00-17:00，进入《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http://guoca</w:t>
      </w:r>
      <w:r>
        <w:rPr>
          <w:rFonts w:hint="eastAsia" w:ascii="宋体" w:hAnsi="宋体" w:eastAsia="宋体" w:cs="宋体"/>
          <w:sz w:val="24"/>
          <w:szCs w:val="24"/>
          <w:lang w:eastAsia="zh-CN"/>
        </w:rPr>
        <w:t>i-impc.cppchina.cn/</w:t>
      </w:r>
      <w:r>
        <w:rPr>
          <w:rFonts w:hint="eastAsia" w:ascii="宋体" w:hAnsi="宋体" w:eastAsia="宋体" w:cs="宋体"/>
          <w:sz w:val="24"/>
          <w:szCs w:val="24"/>
        </w:rPr>
        <w:t>）在线递交报名资料和获取采购文件，逾期不予受理。</w:t>
      </w:r>
    </w:p>
    <w:p w14:paraId="4747930B">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）办理中招互连扫码签章，前述工作完成后方可开始投标报名。</w:t>
      </w:r>
    </w:p>
    <w:p w14:paraId="05493698">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10D511F1">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登录平台</w:t>
      </w:r>
      <w:r>
        <w:rPr>
          <w:rFonts w:hint="eastAsia" w:ascii="宋体" w:hAnsi="宋体" w:eastAsia="宋体" w:cs="宋体"/>
          <w:sz w:val="24"/>
          <w:szCs w:val="24"/>
        </w:rPr>
        <w:t>→</w:t>
      </w:r>
      <w:r>
        <w:rPr>
          <w:rFonts w:hint="eastAsia" w:ascii="宋体" w:hAnsi="宋体" w:eastAsia="宋体" w:cs="宋体"/>
          <w:bCs/>
          <w:sz w:val="24"/>
          <w:szCs w:val="24"/>
        </w:rPr>
        <w:t>在报名管理界面查看最新招标项目</w:t>
      </w:r>
      <w:r>
        <w:rPr>
          <w:rFonts w:hint="eastAsia" w:ascii="宋体" w:hAnsi="宋体" w:eastAsia="宋体" w:cs="宋体"/>
          <w:sz w:val="24"/>
          <w:szCs w:val="24"/>
        </w:rPr>
        <w:t>→</w:t>
      </w:r>
      <w:r>
        <w:rPr>
          <w:rFonts w:hint="eastAsia" w:ascii="宋体" w:hAnsi="宋体" w:eastAsia="宋体" w:cs="宋体"/>
          <w:bCs/>
          <w:sz w:val="24"/>
          <w:szCs w:val="24"/>
        </w:rPr>
        <w:t>供应商提交报名资料，通过资格查验的供应商报名后通过“文件下载”界面下载采购文件，平台联系电话:400-9913-966。</w:t>
      </w:r>
    </w:p>
    <w:p w14:paraId="57793892">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1CF7432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285888B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33C775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4.3.1报名信息表（详见公告附件）；</w:t>
      </w:r>
    </w:p>
    <w:p w14:paraId="2C93891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4.3.2法定代表人授权委托书（详见公告附件）； </w:t>
      </w:r>
    </w:p>
    <w:p w14:paraId="68E90FC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4.3.3载有统一社会信用代码的营业执照扫描件；</w:t>
      </w:r>
    </w:p>
    <w:p w14:paraId="41B6B83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4.3.4提供一般纳税人登记表或税务局相关网站查询截图或开具的增值税发票或税务局出具的相关证明等；</w:t>
      </w:r>
    </w:p>
    <w:p w14:paraId="6E7B16C1">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4.3.5供应商专用资格要求中所需资料扫描件；</w:t>
      </w:r>
    </w:p>
    <w:p w14:paraId="3B4AE828">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4.3.6供应商及其法定代表人在“中国执行信息公开网”（省份选择全部）（http://zxgk.court.gov.cn/shixin/）”查询显示未被列入失信被执行人名单查询结果截图；(详见公告附件)</w:t>
      </w:r>
    </w:p>
    <w:p w14:paraId="2A7949C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4.3.7供应商在“国家企业信用信息公示系统网(http://www.gsxt.gov.cn/index.html)未被列入严重违法失信企业名单(黑名单)信息；(详见公告附件)</w:t>
      </w:r>
    </w:p>
    <w:p w14:paraId="64671690">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rPr>
      </w:pPr>
      <w:r>
        <w:rPr>
          <w:rFonts w:hint="eastAsia" w:ascii="宋体" w:hAnsi="宋体" w:eastAsia="宋体" w:cs="宋体"/>
          <w:spacing w:val="0"/>
          <w:sz w:val="24"/>
          <w:szCs w:val="24"/>
        </w:rPr>
        <w:t>4.3.8供应商在中国裁判文书网(https://wenshu.court.gov.cn/)显示供应商及法定代表人近三年无行贿犯罪记录；(详见公告附件)</w:t>
      </w:r>
    </w:p>
    <w:p w14:paraId="290E3B87">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4.3.9企业如有变更，需提供有关行政机关提供的变更证明材料；</w:t>
      </w:r>
    </w:p>
    <w:p w14:paraId="5A4B6FB9">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4.3.10真实性承诺书。（格式详见附件）</w:t>
      </w:r>
    </w:p>
    <w:p w14:paraId="3697725E">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1121C5D4">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7BA9D86B">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4E926810">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1F67F260">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244B4A63">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bookmarkStart w:id="31" w:name="_Toc19515"/>
      <w:bookmarkStart w:id="32" w:name="_Toc11424"/>
      <w:bookmarkStart w:id="33" w:name="_Toc21923"/>
      <w:bookmarkStart w:id="34" w:name="_Toc495645074"/>
      <w:bookmarkStart w:id="35" w:name="_Toc54632635"/>
      <w:bookmarkStart w:id="36" w:name="_Toc58406244"/>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29B74502">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”，响应截止时间后上传的响应文件恕不接收。本项目采用远程评审方式，不接收纸质响应文件，逾期送达的响应文件，“</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”将不予接收。</w:t>
      </w:r>
    </w:p>
    <w:p w14:paraId="3A8CB0D0">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7C78574C">
      <w:pPr>
        <w:keepNext/>
        <w:keepLines/>
        <w:spacing w:line="336" w:lineRule="auto"/>
        <w:ind w:firstLine="482" w:firstLineChars="200"/>
        <w:rPr>
          <w:rFonts w:hint="eastAsia" w:ascii="宋体" w:hAnsi="宋体" w:eastAsia="宋体" w:cs="宋体"/>
          <w:b/>
          <w:sz w:val="24"/>
          <w:szCs w:val="24"/>
        </w:rPr>
      </w:pPr>
      <w:bookmarkStart w:id="38" w:name="_Toc11300"/>
      <w:bookmarkStart w:id="39" w:name="_Toc54632636"/>
      <w:bookmarkStart w:id="40" w:name="_Toc58406245"/>
      <w:bookmarkStart w:id="41" w:name="_Toc26010"/>
      <w:r>
        <w:rPr>
          <w:rFonts w:hint="eastAsia" w:ascii="宋体" w:hAnsi="宋体" w:eastAsia="宋体" w:cs="宋体"/>
          <w:b/>
          <w:sz w:val="24"/>
          <w:szCs w:val="24"/>
        </w:rPr>
        <w:t>6.资格审查：</w:t>
      </w:r>
      <w:bookmarkEnd w:id="37"/>
      <w:bookmarkEnd w:id="38"/>
      <w:bookmarkEnd w:id="39"/>
      <w:bookmarkEnd w:id="40"/>
      <w:bookmarkEnd w:id="41"/>
    </w:p>
    <w:p w14:paraId="463C097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25DE007E">
      <w:pPr>
        <w:spacing w:line="336" w:lineRule="auto"/>
        <w:ind w:firstLine="482" w:firstLineChars="200"/>
        <w:rPr>
          <w:rFonts w:hint="eastAsia" w:ascii="宋体" w:hAnsi="宋体" w:eastAsia="宋体" w:cs="宋体"/>
          <w:b/>
          <w:sz w:val="24"/>
          <w:szCs w:val="24"/>
          <w:highlight w:val="none"/>
        </w:rPr>
      </w:pPr>
      <w:bookmarkStart w:id="42" w:name="_Toc26331"/>
      <w:bookmarkStart w:id="43" w:name="_Toc260"/>
      <w:bookmarkStart w:id="44" w:name="_Toc54632637"/>
      <w:bookmarkStart w:id="45" w:name="_Toc4184"/>
      <w:bookmarkStart w:id="46" w:name="_Toc58406246"/>
      <w:r>
        <w:rPr>
          <w:rFonts w:hint="eastAsia" w:ascii="宋体" w:hAnsi="宋体" w:eastAsia="宋体" w:cs="宋体"/>
          <w:b/>
          <w:sz w:val="24"/>
          <w:szCs w:val="24"/>
          <w:highlight w:val="none"/>
        </w:rPr>
        <w:t>7.截标及开标时间：</w:t>
      </w:r>
      <w:bookmarkEnd w:id="42"/>
      <w:bookmarkEnd w:id="43"/>
      <w:bookmarkEnd w:id="44"/>
      <w:bookmarkEnd w:id="45"/>
      <w:bookmarkEnd w:id="46"/>
    </w:p>
    <w:p w14:paraId="49116393">
      <w:pPr>
        <w:spacing w:line="336" w:lineRule="auto"/>
        <w:ind w:firstLine="480" w:firstLineChars="200"/>
        <w:rPr>
          <w:rFonts w:hint="eastAsia" w:ascii="宋体" w:hAnsi="宋体" w:eastAsia="宋体" w:cs="宋体"/>
          <w:sz w:val="24"/>
          <w:szCs w:val="24"/>
          <w:highlight w:val="none"/>
        </w:rPr>
      </w:pPr>
      <w:bookmarkStart w:id="47" w:name="_Toc54632638"/>
      <w:bookmarkStart w:id="48" w:name="_Toc8804"/>
      <w:bookmarkStart w:id="49" w:name="_Toc58406247"/>
      <w:bookmarkStart w:id="50" w:name="_Toc5776"/>
      <w:bookmarkStart w:id="51" w:name="_Toc24008"/>
      <w:r>
        <w:rPr>
          <w:rFonts w:hint="eastAsia" w:ascii="宋体" w:hAnsi="宋体" w:eastAsia="宋体" w:cs="宋体"/>
          <w:sz w:val="24"/>
          <w:szCs w:val="24"/>
          <w:highlight w:val="none"/>
        </w:rPr>
        <w:t>响应文件上传时间：2025年0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rPr>
        <w:t>日上午09:00～</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1AF80AB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246F670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39A1027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039A0B8C">
      <w:pPr>
        <w:keepNext/>
        <w:keepLines/>
        <w:spacing w:line="336"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8.解密方式及截标开标地点：</w:t>
      </w:r>
      <w:bookmarkEnd w:id="47"/>
      <w:bookmarkEnd w:id="48"/>
      <w:bookmarkEnd w:id="49"/>
      <w:bookmarkEnd w:id="50"/>
      <w:bookmarkEnd w:id="51"/>
    </w:p>
    <w:p w14:paraId="7F07058D">
      <w:pPr>
        <w:spacing w:line="336"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8860D6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开标现场地点：内蒙古产权交易中心有限责任公司开标室</w:t>
      </w:r>
    </w:p>
    <w:p w14:paraId="59F7173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地址：呼和浩特市赛罕区阿吉泰路3号</w:t>
      </w:r>
    </w:p>
    <w:p w14:paraId="2AC074A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04767C0D">
      <w:pPr>
        <w:spacing w:line="336" w:lineRule="auto"/>
        <w:ind w:firstLine="482" w:firstLineChars="200"/>
        <w:rPr>
          <w:rFonts w:hint="eastAsia" w:ascii="宋体" w:hAnsi="宋体" w:eastAsia="宋体" w:cs="宋体"/>
          <w:b/>
          <w:sz w:val="24"/>
          <w:szCs w:val="24"/>
        </w:rPr>
      </w:pPr>
      <w:bookmarkStart w:id="53" w:name="_Toc18343"/>
      <w:bookmarkStart w:id="54" w:name="_Toc54632639"/>
      <w:bookmarkStart w:id="55" w:name="_Toc58406248"/>
      <w:bookmarkStart w:id="56" w:name="_Toc23124"/>
      <w:r>
        <w:rPr>
          <w:rFonts w:hint="eastAsia" w:ascii="宋体" w:hAnsi="宋体" w:eastAsia="宋体" w:cs="宋体"/>
          <w:b/>
          <w:sz w:val="24"/>
          <w:szCs w:val="24"/>
        </w:rPr>
        <w:t>9.采购费用：</w:t>
      </w:r>
      <w:bookmarkEnd w:id="52"/>
      <w:bookmarkEnd w:id="53"/>
      <w:bookmarkEnd w:id="54"/>
      <w:bookmarkEnd w:id="55"/>
      <w:bookmarkEnd w:id="56"/>
    </w:p>
    <w:p w14:paraId="3AC44727">
      <w:pPr>
        <w:spacing w:line="336" w:lineRule="auto"/>
        <w:ind w:firstLine="480" w:firstLineChars="200"/>
        <w:rPr>
          <w:rFonts w:hint="eastAsia" w:ascii="宋体" w:hAnsi="宋体" w:eastAsia="宋体" w:cs="宋体"/>
          <w:sz w:val="24"/>
          <w:szCs w:val="24"/>
        </w:rPr>
      </w:pPr>
      <w:bookmarkStart w:id="57" w:name="_Toc13484"/>
      <w:bookmarkStart w:id="58" w:name="_Toc495645075"/>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3354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1079A3C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shd w:val="clear" w:color="auto" w:fill="auto"/>
            <w:vAlign w:val="center"/>
          </w:tcPr>
          <w:p w14:paraId="28487BB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4A79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39954B8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shd w:val="clear" w:color="auto" w:fill="auto"/>
            <w:vAlign w:val="center"/>
          </w:tcPr>
          <w:p w14:paraId="1F7416B0">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6923B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0883DA1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shd w:val="clear" w:color="auto" w:fill="auto"/>
            <w:vAlign w:val="center"/>
          </w:tcPr>
          <w:p w14:paraId="605912E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321B275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204E5A2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071F119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502B26E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3EC8B30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33BCE08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6F9D3D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6A97C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7DE788E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4356E39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73940CB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5607611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项目负责人:董政</w:t>
      </w:r>
    </w:p>
    <w:p w14:paraId="68D37AE9">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2D20D75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3A09768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E850EC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73FA1378">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（3）中标服务费交纳形式：电汇、银行转账、现金均可。</w:t>
      </w:r>
    </w:p>
    <w:p w14:paraId="3BBA670F">
      <w:pPr>
        <w:spacing w:line="336" w:lineRule="auto"/>
        <w:ind w:firstLine="482" w:firstLineChars="200"/>
        <w:rPr>
          <w:rFonts w:hint="eastAsia" w:ascii="宋体" w:hAnsi="宋体" w:eastAsia="宋体" w:cs="宋体"/>
          <w:b/>
          <w:sz w:val="24"/>
          <w:szCs w:val="24"/>
        </w:rPr>
      </w:pPr>
      <w:bookmarkStart w:id="59" w:name="_Toc8695"/>
      <w:bookmarkStart w:id="60" w:name="_Toc58406249"/>
      <w:bookmarkStart w:id="61" w:name="_Toc32527"/>
      <w:bookmarkStart w:id="62" w:name="_Toc54632640"/>
      <w:r>
        <w:rPr>
          <w:rFonts w:hint="eastAsia" w:ascii="宋体" w:hAnsi="宋体" w:eastAsia="宋体" w:cs="宋体"/>
          <w:b/>
          <w:sz w:val="24"/>
          <w:szCs w:val="24"/>
        </w:rPr>
        <w:t>10.发布公告的媒介</w:t>
      </w:r>
      <w:bookmarkEnd w:id="57"/>
      <w:bookmarkEnd w:id="58"/>
      <w:bookmarkEnd w:id="59"/>
      <w:bookmarkEnd w:id="60"/>
      <w:bookmarkEnd w:id="61"/>
      <w:bookmarkEnd w:id="62"/>
    </w:p>
    <w:p w14:paraId="4F509997">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4750C820">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4CEAE54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5F8A5FC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5215720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0EF3205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联系电话：0471-6947482</w:t>
      </w:r>
    </w:p>
    <w:p w14:paraId="404849C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监督举报邮箱为hhhtwzgyc@163.com</w:t>
      </w:r>
    </w:p>
    <w:p w14:paraId="5F22D9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监督人电话：0471-6943385</w:t>
      </w:r>
    </w:p>
    <w:p w14:paraId="1D83E8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AA8747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0D6BBD8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78664A1D">
      <w:pPr>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21A07D3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753CD2AE">
      <w:pPr>
        <w:spacing w:line="336" w:lineRule="auto"/>
        <w:rPr>
          <w:rFonts w:hint="eastAsia"/>
        </w:rPr>
      </w:pPr>
    </w:p>
    <w:p w14:paraId="2DA7920C">
      <w:pPr>
        <w:pStyle w:val="2"/>
        <w:spacing w:line="336" w:lineRule="auto"/>
        <w:rPr>
          <w:rFonts w:hint="eastAsia" w:ascii="宋体" w:hAnsi="宋体" w:cs="宋体"/>
          <w:sz w:val="24"/>
          <w:szCs w:val="24"/>
        </w:rPr>
      </w:pPr>
    </w:p>
    <w:p w14:paraId="7D0106DD">
      <w:pPr>
        <w:pStyle w:val="2"/>
        <w:spacing w:line="336" w:lineRule="auto"/>
        <w:ind w:firstLine="0"/>
        <w:jc w:val="right"/>
        <w:rPr>
          <w:rFonts w:hint="eastAsia" w:ascii="宋体" w:hAnsi="宋体" w:cs="宋体"/>
          <w:b w:val="0"/>
          <w:bCs w:val="0"/>
          <w:kern w:val="2"/>
          <w:sz w:val="24"/>
          <w:szCs w:val="24"/>
        </w:rPr>
      </w:pPr>
      <w:r>
        <w:rPr>
          <w:rFonts w:hint="eastAsia" w:ascii="宋体" w:hAnsi="宋体" w:cs="宋体"/>
          <w:b w:val="0"/>
          <w:bCs w:val="0"/>
          <w:kern w:val="2"/>
          <w:sz w:val="24"/>
          <w:szCs w:val="24"/>
        </w:rPr>
        <w:t>2025年</w:t>
      </w:r>
      <w:r>
        <w:rPr>
          <w:rFonts w:hint="eastAsia" w:ascii="宋体" w:hAnsi="宋体" w:cs="宋体"/>
          <w:b w:val="0"/>
          <w:bCs w:val="0"/>
          <w:kern w:val="2"/>
          <w:sz w:val="24"/>
          <w:szCs w:val="24"/>
          <w:lang w:val="en-US" w:eastAsia="zh-CN"/>
        </w:rPr>
        <w:t>05</w:t>
      </w:r>
      <w:r>
        <w:rPr>
          <w:rFonts w:hint="eastAsia" w:ascii="宋体" w:hAnsi="宋体" w:cs="宋体"/>
          <w:b w:val="0"/>
          <w:bCs w:val="0"/>
          <w:kern w:val="2"/>
          <w:sz w:val="24"/>
          <w:szCs w:val="24"/>
        </w:rPr>
        <w:t>月</w:t>
      </w:r>
      <w:r>
        <w:rPr>
          <w:rFonts w:hint="eastAsia" w:ascii="宋体" w:hAnsi="宋体" w:cs="宋体"/>
          <w:b w:val="0"/>
          <w:bCs w:val="0"/>
          <w:kern w:val="2"/>
          <w:sz w:val="24"/>
          <w:szCs w:val="24"/>
          <w:lang w:val="en-US" w:eastAsia="zh-CN"/>
        </w:rPr>
        <w:t>13</w:t>
      </w:r>
      <w:r>
        <w:rPr>
          <w:rFonts w:hint="eastAsia" w:ascii="宋体" w:hAnsi="宋体" w:cs="宋体"/>
          <w:b w:val="0"/>
          <w:bCs w:val="0"/>
          <w:kern w:val="2"/>
          <w:sz w:val="24"/>
          <w:szCs w:val="24"/>
        </w:rPr>
        <w:t>日</w:t>
      </w:r>
    </w:p>
    <w:p w14:paraId="28A8F355">
      <w:pPr>
        <w:rPr>
          <w:rFonts w:hint="eastAsia"/>
        </w:rPr>
      </w:pPr>
    </w:p>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C1185D"/>
    <w:rsid w:val="00075A02"/>
    <w:rsid w:val="002A7F90"/>
    <w:rsid w:val="00476CFE"/>
    <w:rsid w:val="0065757F"/>
    <w:rsid w:val="006C30B1"/>
    <w:rsid w:val="00AD0A39"/>
    <w:rsid w:val="00C1185D"/>
    <w:rsid w:val="00CB2732"/>
    <w:rsid w:val="00DB2750"/>
    <w:rsid w:val="00F24B3C"/>
    <w:rsid w:val="0EA973F7"/>
    <w:rsid w:val="141F3451"/>
    <w:rsid w:val="39CC1D02"/>
    <w:rsid w:val="53AD2779"/>
    <w:rsid w:val="58EF5943"/>
    <w:rsid w:val="65CB5985"/>
    <w:rsid w:val="673F5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仿宋_GB2312" w:hAnsi="仿宋_GB2312" w:eastAsia="仿宋" w:cs="Times New Roman"/>
      <w:kern w:val="2"/>
      <w:sz w:val="34"/>
      <w:szCs w:val="20"/>
      <w:lang w:val="en-US" w:eastAsia="zh-CN" w:bidi="ar-SA"/>
      <w14:ligatures w14:val="none"/>
    </w:rPr>
  </w:style>
  <w:style w:type="paragraph" w:styleId="8">
    <w:name w:val="heading 1"/>
    <w:basedOn w:val="1"/>
    <w:next w:val="1"/>
    <w:link w:val="24"/>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9">
    <w:name w:val="heading 2"/>
    <w:basedOn w:val="1"/>
    <w:next w:val="1"/>
    <w:link w:val="25"/>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10">
    <w:name w:val="heading 3"/>
    <w:basedOn w:val="1"/>
    <w:next w:val="1"/>
    <w:link w:val="26"/>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11">
    <w:name w:val="heading 4"/>
    <w:basedOn w:val="1"/>
    <w:next w:val="1"/>
    <w:link w:val="27"/>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12">
    <w:name w:val="heading 5"/>
    <w:basedOn w:val="1"/>
    <w:next w:val="1"/>
    <w:link w:val="28"/>
    <w:semiHidden/>
    <w:unhideWhenUsed/>
    <w:qFormat/>
    <w:uiPriority w:val="9"/>
    <w:pPr>
      <w:keepNext/>
      <w:keepLines/>
      <w:spacing w:before="80" w:after="40"/>
      <w:outlineLvl w:val="4"/>
    </w:pPr>
    <w:rPr>
      <w:rFonts w:cstheme="majorBidi"/>
      <w:color w:val="2F5597" w:themeColor="accent1" w:themeShade="BF"/>
      <w:sz w:val="24"/>
    </w:rPr>
  </w:style>
  <w:style w:type="paragraph" w:styleId="13">
    <w:name w:val="heading 6"/>
    <w:basedOn w:val="1"/>
    <w:next w:val="1"/>
    <w:link w:val="29"/>
    <w:semiHidden/>
    <w:unhideWhenUsed/>
    <w:qFormat/>
    <w:uiPriority w:val="9"/>
    <w:pPr>
      <w:keepNext/>
      <w:keepLines/>
      <w:spacing w:before="40"/>
      <w:outlineLvl w:val="5"/>
    </w:pPr>
    <w:rPr>
      <w:rFonts w:cstheme="majorBidi"/>
      <w:b/>
      <w:bCs/>
      <w:color w:val="2F5597" w:themeColor="accent1" w:themeShade="BF"/>
    </w:rPr>
  </w:style>
  <w:style w:type="paragraph" w:styleId="14">
    <w:name w:val="heading 7"/>
    <w:basedOn w:val="1"/>
    <w:next w:val="1"/>
    <w:link w:val="30"/>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5">
    <w:name w:val="heading 8"/>
    <w:basedOn w:val="1"/>
    <w:next w:val="1"/>
    <w:link w:val="31"/>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6">
    <w:name w:val="heading 9"/>
    <w:basedOn w:val="1"/>
    <w:next w:val="1"/>
    <w:link w:val="32"/>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6"/>
    <w:link w:val="43"/>
    <w:semiHidden/>
    <w:qFormat/>
    <w:uiPriority w:val="0"/>
    <w:pPr>
      <w:ind w:left="0" w:leftChars="0" w:firstLine="420"/>
    </w:pPr>
    <w:rPr>
      <w:rFonts w:ascii="Calibri" w:hAnsi="Calibri" w:eastAsia="宋体"/>
      <w:b/>
      <w:bCs/>
      <w:kern w:val="44"/>
      <w:sz w:val="44"/>
      <w:szCs w:val="44"/>
    </w:rPr>
  </w:style>
  <w:style w:type="paragraph" w:styleId="3">
    <w:name w:val="Body Text Indent"/>
    <w:basedOn w:val="1"/>
    <w:next w:val="4"/>
    <w:link w:val="42"/>
    <w:semiHidden/>
    <w:unhideWhenUsed/>
    <w:qFormat/>
    <w:uiPriority w:val="99"/>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17">
    <w:name w:val="Normal Indent"/>
    <w:basedOn w:val="1"/>
    <w:next w:val="1"/>
    <w:link w:val="44"/>
    <w:qFormat/>
    <w:uiPriority w:val="99"/>
    <w:pPr>
      <w:ind w:firstLine="420"/>
    </w:pPr>
  </w:style>
  <w:style w:type="paragraph" w:styleId="18">
    <w:name w:val="footer"/>
    <w:basedOn w:val="1"/>
    <w:link w:val="46"/>
    <w:unhideWhenUsed/>
    <w:qFormat/>
    <w:uiPriority w:val="99"/>
    <w:pPr>
      <w:tabs>
        <w:tab w:val="center" w:pos="4153"/>
        <w:tab w:val="right" w:pos="8306"/>
      </w:tabs>
      <w:snapToGrid w:val="0"/>
      <w:jc w:val="left"/>
    </w:pPr>
    <w:rPr>
      <w:sz w:val="18"/>
      <w:szCs w:val="18"/>
    </w:rPr>
  </w:style>
  <w:style w:type="paragraph" w:styleId="19">
    <w:name w:val="header"/>
    <w:basedOn w:val="1"/>
    <w:link w:val="45"/>
    <w:unhideWhenUsed/>
    <w:qFormat/>
    <w:uiPriority w:val="99"/>
    <w:pPr>
      <w:tabs>
        <w:tab w:val="center" w:pos="4153"/>
        <w:tab w:val="right" w:pos="8306"/>
      </w:tabs>
      <w:snapToGrid w:val="0"/>
      <w:jc w:val="center"/>
    </w:pPr>
    <w:rPr>
      <w:sz w:val="18"/>
      <w:szCs w:val="18"/>
    </w:rPr>
  </w:style>
  <w:style w:type="paragraph" w:styleId="20">
    <w:name w:val="Subtitle"/>
    <w:basedOn w:val="1"/>
    <w:next w:val="1"/>
    <w:link w:val="34"/>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1">
    <w:name w:val="Title"/>
    <w:basedOn w:val="1"/>
    <w:next w:val="1"/>
    <w:link w:val="33"/>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4">
    <w:name w:val="标题 1 字符"/>
    <w:basedOn w:val="23"/>
    <w:link w:val="8"/>
    <w:qFormat/>
    <w:uiPriority w:val="9"/>
    <w:rPr>
      <w:rFonts w:asciiTheme="majorHAnsi" w:hAnsiTheme="majorHAnsi" w:eastAsiaTheme="majorEastAsia" w:cstheme="majorBidi"/>
      <w:color w:val="2F5597" w:themeColor="accent1" w:themeShade="BF"/>
      <w:sz w:val="48"/>
      <w:szCs w:val="48"/>
    </w:rPr>
  </w:style>
  <w:style w:type="character" w:customStyle="1" w:styleId="25">
    <w:name w:val="标题 2 字符"/>
    <w:basedOn w:val="23"/>
    <w:link w:val="9"/>
    <w:semiHidden/>
    <w:qFormat/>
    <w:uiPriority w:val="9"/>
    <w:rPr>
      <w:rFonts w:asciiTheme="majorHAnsi" w:hAnsiTheme="majorHAnsi" w:eastAsiaTheme="majorEastAsia" w:cstheme="majorBidi"/>
      <w:color w:val="2F5597" w:themeColor="accent1" w:themeShade="BF"/>
      <w:sz w:val="40"/>
      <w:szCs w:val="40"/>
    </w:rPr>
  </w:style>
  <w:style w:type="character" w:customStyle="1" w:styleId="26">
    <w:name w:val="标题 3 字符"/>
    <w:basedOn w:val="23"/>
    <w:link w:val="10"/>
    <w:semiHidden/>
    <w:qFormat/>
    <w:uiPriority w:val="9"/>
    <w:rPr>
      <w:rFonts w:asciiTheme="majorHAnsi" w:hAnsiTheme="majorHAnsi" w:eastAsiaTheme="majorEastAsia" w:cstheme="majorBidi"/>
      <w:color w:val="2F5597" w:themeColor="accent1" w:themeShade="BF"/>
      <w:sz w:val="32"/>
      <w:szCs w:val="32"/>
    </w:rPr>
  </w:style>
  <w:style w:type="character" w:customStyle="1" w:styleId="27">
    <w:name w:val="标题 4 字符"/>
    <w:basedOn w:val="23"/>
    <w:link w:val="11"/>
    <w:semiHidden/>
    <w:qFormat/>
    <w:uiPriority w:val="9"/>
    <w:rPr>
      <w:rFonts w:cstheme="majorBidi"/>
      <w:color w:val="2F5597" w:themeColor="accent1" w:themeShade="BF"/>
      <w:sz w:val="28"/>
      <w:szCs w:val="28"/>
    </w:rPr>
  </w:style>
  <w:style w:type="character" w:customStyle="1" w:styleId="28">
    <w:name w:val="标题 5 字符"/>
    <w:basedOn w:val="23"/>
    <w:link w:val="12"/>
    <w:semiHidden/>
    <w:qFormat/>
    <w:uiPriority w:val="9"/>
    <w:rPr>
      <w:rFonts w:cstheme="majorBidi"/>
      <w:color w:val="2F5597" w:themeColor="accent1" w:themeShade="BF"/>
      <w:sz w:val="24"/>
    </w:rPr>
  </w:style>
  <w:style w:type="character" w:customStyle="1" w:styleId="29">
    <w:name w:val="标题 6 字符"/>
    <w:basedOn w:val="23"/>
    <w:link w:val="13"/>
    <w:semiHidden/>
    <w:qFormat/>
    <w:uiPriority w:val="9"/>
    <w:rPr>
      <w:rFonts w:cstheme="majorBidi"/>
      <w:b/>
      <w:bCs/>
      <w:color w:val="2F5597" w:themeColor="accent1" w:themeShade="BF"/>
    </w:rPr>
  </w:style>
  <w:style w:type="character" w:customStyle="1" w:styleId="30">
    <w:name w:val="标题 7 字符"/>
    <w:basedOn w:val="23"/>
    <w:link w:val="14"/>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1">
    <w:name w:val="标题 8 字符"/>
    <w:basedOn w:val="23"/>
    <w:link w:val="15"/>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2">
    <w:name w:val="标题 9 字符"/>
    <w:basedOn w:val="23"/>
    <w:link w:val="16"/>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3">
    <w:name w:val="标题 字符"/>
    <w:basedOn w:val="23"/>
    <w:link w:val="21"/>
    <w:qFormat/>
    <w:uiPriority w:val="10"/>
    <w:rPr>
      <w:rFonts w:asciiTheme="majorHAnsi" w:hAnsiTheme="majorHAnsi" w:eastAsiaTheme="majorEastAsia" w:cstheme="majorBidi"/>
      <w:spacing w:val="-10"/>
      <w:kern w:val="28"/>
      <w:sz w:val="56"/>
      <w:szCs w:val="56"/>
    </w:rPr>
  </w:style>
  <w:style w:type="character" w:customStyle="1" w:styleId="34">
    <w:name w:val="副标题 字符"/>
    <w:basedOn w:val="23"/>
    <w:link w:val="20"/>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5">
    <w:name w:val="Quote"/>
    <w:basedOn w:val="1"/>
    <w:next w:val="1"/>
    <w:link w:val="36"/>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6">
    <w:name w:val="引用 字符"/>
    <w:basedOn w:val="23"/>
    <w:link w:val="35"/>
    <w:qFormat/>
    <w:uiPriority w:val="29"/>
    <w:rPr>
      <w:i/>
      <w:iCs/>
      <w:color w:val="404040" w:themeColor="text1" w:themeTint="BF"/>
      <w14:textFill>
        <w14:solidFill>
          <w14:schemeClr w14:val="tx1">
            <w14:lumMod w14:val="75000"/>
            <w14:lumOff w14:val="25000"/>
          </w14:schemeClr>
        </w14:solidFill>
      </w14:textFill>
    </w:rPr>
  </w:style>
  <w:style w:type="paragraph" w:styleId="37">
    <w:name w:val="List Paragraph"/>
    <w:basedOn w:val="1"/>
    <w:qFormat/>
    <w:uiPriority w:val="34"/>
    <w:pPr>
      <w:ind w:left="720"/>
      <w:contextualSpacing/>
    </w:pPr>
  </w:style>
  <w:style w:type="character" w:customStyle="1" w:styleId="38">
    <w:name w:val="Intense Emphasis"/>
    <w:basedOn w:val="23"/>
    <w:qFormat/>
    <w:uiPriority w:val="21"/>
    <w:rPr>
      <w:i/>
      <w:iCs/>
      <w:color w:val="2F5597" w:themeColor="accent1" w:themeShade="BF"/>
    </w:rPr>
  </w:style>
  <w:style w:type="paragraph" w:styleId="39">
    <w:name w:val="Intense Quote"/>
    <w:basedOn w:val="1"/>
    <w:next w:val="1"/>
    <w:link w:val="40"/>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40">
    <w:name w:val="明显引用 字符"/>
    <w:basedOn w:val="23"/>
    <w:link w:val="39"/>
    <w:qFormat/>
    <w:uiPriority w:val="30"/>
    <w:rPr>
      <w:i/>
      <w:iCs/>
      <w:color w:val="2F5597" w:themeColor="accent1" w:themeShade="BF"/>
    </w:rPr>
  </w:style>
  <w:style w:type="character" w:customStyle="1" w:styleId="41">
    <w:name w:val="Intense Reference"/>
    <w:basedOn w:val="23"/>
    <w:qFormat/>
    <w:uiPriority w:val="32"/>
    <w:rPr>
      <w:b/>
      <w:bCs/>
      <w:smallCaps/>
      <w:color w:val="2F5597" w:themeColor="accent1" w:themeShade="BF"/>
      <w:spacing w:val="5"/>
    </w:rPr>
  </w:style>
  <w:style w:type="character" w:customStyle="1" w:styleId="42">
    <w:name w:val="正文文本缩进 字符"/>
    <w:basedOn w:val="23"/>
    <w:link w:val="3"/>
    <w:semiHidden/>
    <w:qFormat/>
    <w:uiPriority w:val="99"/>
    <w:rPr>
      <w:rFonts w:ascii="仿宋_GB2312" w:hAnsi="仿宋_GB2312" w:eastAsia="仿宋" w:cs="Times New Roman"/>
      <w:sz w:val="34"/>
      <w:szCs w:val="20"/>
      <w14:ligatures w14:val="none"/>
    </w:rPr>
  </w:style>
  <w:style w:type="character" w:customStyle="1" w:styleId="43">
    <w:name w:val="正文文本首行缩进 2 字符"/>
    <w:basedOn w:val="42"/>
    <w:link w:val="2"/>
    <w:semiHidden/>
    <w:qFormat/>
    <w:uiPriority w:val="0"/>
    <w:rPr>
      <w:rFonts w:ascii="Calibri" w:hAnsi="Calibri" w:eastAsia="宋体" w:cs="Times New Roman"/>
      <w:b/>
      <w:bCs/>
      <w:kern w:val="44"/>
      <w:sz w:val="44"/>
      <w:szCs w:val="44"/>
      <w14:ligatures w14:val="none"/>
    </w:rPr>
  </w:style>
  <w:style w:type="character" w:customStyle="1" w:styleId="44">
    <w:name w:val="正文缩进 字符"/>
    <w:link w:val="17"/>
    <w:qFormat/>
    <w:uiPriority w:val="99"/>
    <w:rPr>
      <w:rFonts w:ascii="仿宋_GB2312" w:hAnsi="仿宋_GB2312" w:eastAsia="仿宋" w:cs="Times New Roman"/>
      <w:sz w:val="34"/>
      <w:szCs w:val="20"/>
      <w14:ligatures w14:val="none"/>
    </w:rPr>
  </w:style>
  <w:style w:type="character" w:customStyle="1" w:styleId="45">
    <w:name w:val="页眉 字符"/>
    <w:basedOn w:val="23"/>
    <w:link w:val="19"/>
    <w:qFormat/>
    <w:uiPriority w:val="99"/>
    <w:rPr>
      <w:rFonts w:ascii="仿宋_GB2312" w:hAnsi="仿宋_GB2312" w:eastAsia="仿宋" w:cs="Times New Roman"/>
      <w:sz w:val="18"/>
      <w:szCs w:val="18"/>
      <w14:ligatures w14:val="none"/>
    </w:rPr>
  </w:style>
  <w:style w:type="character" w:customStyle="1" w:styleId="46">
    <w:name w:val="页脚 字符"/>
    <w:basedOn w:val="23"/>
    <w:link w:val="18"/>
    <w:qFormat/>
    <w:uiPriority w:val="99"/>
    <w:rPr>
      <w:rFonts w:ascii="仿宋_GB2312" w:hAnsi="仿宋_GB2312" w:eastAsia="仿宋" w:cs="Times New Roman"/>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4366</Words>
  <Characters>5262</Characters>
  <Lines>34</Lines>
  <Paragraphs>9</Paragraphs>
  <TotalTime>8</TotalTime>
  <ScaleCrop>false</ScaleCrop>
  <LinksUpToDate>false</LinksUpToDate>
  <CharactersWithSpaces>5287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2025-02-24T04:41:00Z</dcterms:created>
  <dc:creator>立峰 毕</dc:creator>
  <cp:lastModifiedBy>贾博</cp:lastModifiedBy>
  <dcterms:modified xsi:type="dcterms:W3CDTF">2025-05-13T01:07:11Z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9B273AC954564A8C8EEC8A6707FA6767_13</vt:lpwstr>
  </property>
</Properties>
</file>