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DE845C">
      <w:pPr>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呼和浩特供电公司2025年3月第二批设备材料采购（预审）（询比）</w:t>
      </w:r>
    </w:p>
    <w:p w14:paraId="5AF48939">
      <w:pPr>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采购公告</w:t>
      </w:r>
    </w:p>
    <w:p w14:paraId="680E7100">
      <w:pPr>
        <w:spacing w:line="360" w:lineRule="auto"/>
        <w:ind w:firstLine="482" w:firstLineChars="200"/>
        <w:rPr>
          <w:rFonts w:hint="eastAsia" w:ascii="宋体" w:hAnsi="宋体" w:eastAsia="宋体" w:cs="宋体"/>
          <w:b/>
          <w:sz w:val="24"/>
          <w:szCs w:val="24"/>
          <w:highlight w:val="none"/>
        </w:rPr>
      </w:pPr>
      <w:bookmarkStart w:id="0" w:name="_Toc1489"/>
      <w:bookmarkStart w:id="1" w:name="_Toc58406238"/>
      <w:bookmarkStart w:id="2" w:name="_Toc13556"/>
      <w:bookmarkStart w:id="3" w:name="_Toc495644242"/>
      <w:bookmarkStart w:id="4" w:name="_Toc13888"/>
      <w:bookmarkStart w:id="5" w:name="_Toc54632629"/>
      <w:r>
        <w:rPr>
          <w:rFonts w:hint="eastAsia" w:ascii="宋体" w:hAnsi="宋体" w:eastAsia="宋体" w:cs="宋体"/>
          <w:b/>
          <w:sz w:val="24"/>
          <w:szCs w:val="24"/>
          <w:highlight w:val="none"/>
        </w:rPr>
        <w:t>1.</w:t>
      </w:r>
      <w:bookmarkEnd w:id="0"/>
      <w:bookmarkEnd w:id="1"/>
      <w:bookmarkEnd w:id="2"/>
      <w:bookmarkEnd w:id="3"/>
      <w:bookmarkEnd w:id="4"/>
      <w:bookmarkEnd w:id="5"/>
      <w:r>
        <w:rPr>
          <w:rFonts w:hint="eastAsia" w:ascii="宋体" w:hAnsi="宋体" w:eastAsia="宋体" w:cs="宋体"/>
          <w:b/>
          <w:sz w:val="24"/>
          <w:szCs w:val="24"/>
          <w:highlight w:val="none"/>
        </w:rPr>
        <w:t xml:space="preserve">采购条件 </w:t>
      </w:r>
    </w:p>
    <w:p w14:paraId="61A59FE7">
      <w:pPr>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u w:val="single"/>
        </w:rPr>
        <w:t>内蒙古电力（集团）有限责任公司呼和浩特供电分公司</w:t>
      </w:r>
      <w:r>
        <w:rPr>
          <w:rFonts w:hint="eastAsia" w:ascii="宋体" w:hAnsi="宋体" w:eastAsia="宋体" w:cs="宋体"/>
          <w:sz w:val="24"/>
          <w:szCs w:val="24"/>
          <w:highlight w:val="none"/>
        </w:rPr>
        <w:t>委托</w:t>
      </w:r>
      <w:r>
        <w:rPr>
          <w:rFonts w:hint="eastAsia" w:ascii="宋体" w:hAnsi="宋体" w:eastAsia="宋体" w:cs="宋体"/>
          <w:b/>
          <w:bCs/>
          <w:sz w:val="24"/>
          <w:szCs w:val="24"/>
          <w:highlight w:val="none"/>
          <w:u w:val="single"/>
        </w:rPr>
        <w:t>并辉建设工程招标代理有限公司</w:t>
      </w:r>
      <w:r>
        <w:rPr>
          <w:rFonts w:hint="eastAsia" w:ascii="宋体" w:hAnsi="宋体" w:eastAsia="宋体" w:cs="宋体"/>
          <w:sz w:val="24"/>
          <w:szCs w:val="24"/>
          <w:highlight w:val="none"/>
        </w:rPr>
        <w:t>，就</w:t>
      </w:r>
      <w:r>
        <w:rPr>
          <w:rFonts w:hint="eastAsia" w:ascii="宋体" w:hAnsi="宋体" w:eastAsia="宋体" w:cs="宋体"/>
          <w:b/>
          <w:bCs/>
          <w:sz w:val="24"/>
          <w:szCs w:val="24"/>
          <w:highlight w:val="none"/>
          <w:u w:val="single"/>
        </w:rPr>
        <w:t>呼和浩特供电公司2025年3月第二批设备材料采购（预审）（询比）</w:t>
      </w:r>
      <w:r>
        <w:rPr>
          <w:rFonts w:hint="eastAsia" w:ascii="宋体" w:hAnsi="宋体" w:eastAsia="宋体" w:cs="宋体"/>
          <w:sz w:val="24"/>
          <w:szCs w:val="24"/>
          <w:highlight w:val="none"/>
        </w:rPr>
        <w:t>组织询比采购。现将有关事宜公告如下：</w:t>
      </w:r>
    </w:p>
    <w:p w14:paraId="180DCF67">
      <w:pPr>
        <w:spacing w:line="360" w:lineRule="auto"/>
        <w:ind w:firstLine="482" w:firstLineChars="200"/>
        <w:rPr>
          <w:rFonts w:hint="eastAsia" w:ascii="宋体" w:hAnsi="宋体" w:eastAsia="宋体" w:cs="宋体"/>
          <w:b/>
          <w:sz w:val="24"/>
          <w:szCs w:val="24"/>
          <w:highlight w:val="none"/>
        </w:rPr>
      </w:pPr>
      <w:bookmarkStart w:id="6" w:name="_Toc5564"/>
      <w:bookmarkStart w:id="7" w:name="_Toc54632630"/>
      <w:bookmarkStart w:id="8" w:name="_Toc13446"/>
      <w:bookmarkStart w:id="9" w:name="_Toc495644243"/>
      <w:bookmarkStart w:id="10" w:name="_Toc58406239"/>
      <w:bookmarkStart w:id="11" w:name="_Toc22876"/>
      <w:r>
        <w:rPr>
          <w:rFonts w:hint="eastAsia" w:ascii="宋体" w:hAnsi="宋体" w:eastAsia="宋体" w:cs="宋体"/>
          <w:b/>
          <w:sz w:val="24"/>
          <w:szCs w:val="24"/>
          <w:highlight w:val="none"/>
        </w:rPr>
        <w:t>2.项目概况与采购范围</w:t>
      </w:r>
      <w:bookmarkEnd w:id="6"/>
      <w:bookmarkEnd w:id="7"/>
      <w:bookmarkEnd w:id="8"/>
      <w:bookmarkEnd w:id="9"/>
      <w:bookmarkEnd w:id="10"/>
      <w:bookmarkEnd w:id="11"/>
      <w:r>
        <w:rPr>
          <w:rFonts w:hint="eastAsia" w:ascii="宋体" w:hAnsi="宋体" w:eastAsia="宋体" w:cs="宋体"/>
          <w:b/>
          <w:sz w:val="24"/>
          <w:szCs w:val="24"/>
          <w:highlight w:val="none"/>
        </w:rPr>
        <w:t xml:space="preserve"> </w:t>
      </w:r>
    </w:p>
    <w:p w14:paraId="25718BCF">
      <w:pPr>
        <w:spacing w:line="360" w:lineRule="auto"/>
        <w:ind w:firstLine="480" w:firstLineChars="200"/>
        <w:rPr>
          <w:rFonts w:hint="eastAsia" w:ascii="宋体" w:hAnsi="宋体" w:cs="宋体"/>
          <w:sz w:val="24"/>
          <w:szCs w:val="24"/>
          <w:highlight w:val="none"/>
        </w:rPr>
      </w:pPr>
      <w:r>
        <w:rPr>
          <w:rFonts w:hint="eastAsia" w:ascii="宋体" w:hAnsi="宋体" w:eastAsia="宋体" w:cs="宋体"/>
          <w:sz w:val="24"/>
          <w:szCs w:val="24"/>
          <w:highlight w:val="none"/>
        </w:rPr>
        <w:t>2.1采购项目编号:</w:t>
      </w:r>
      <w:r>
        <w:rPr>
          <w:highlight w:val="none"/>
        </w:rPr>
        <w:t xml:space="preserve"> </w:t>
      </w:r>
      <w:r>
        <w:rPr>
          <w:rFonts w:hint="eastAsia" w:ascii="宋体" w:hAnsi="宋体" w:eastAsia="宋体" w:cs="宋体"/>
          <w:sz w:val="24"/>
          <w:szCs w:val="24"/>
          <w:highlight w:val="none"/>
        </w:rPr>
        <w:t>HG20250104-190、193</w:t>
      </w:r>
    </w:p>
    <w:p w14:paraId="5F57BD8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2.2采购项目名称：</w:t>
      </w:r>
      <w:r>
        <w:rPr>
          <w:rFonts w:hint="eastAsia" w:ascii="宋体" w:hAnsi="宋体" w:eastAsia="宋体" w:cs="宋体"/>
          <w:b/>
          <w:sz w:val="24"/>
          <w:szCs w:val="24"/>
          <w:highlight w:val="none"/>
          <w:u w:val="single"/>
        </w:rPr>
        <w:t>呼和浩特供电公司2025年3月第二批设备材料采购（预审）（询比）</w:t>
      </w:r>
    </w:p>
    <w:p w14:paraId="012B95A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2.3本项目共划分为3个标段:</w:t>
      </w:r>
      <w:r>
        <w:rPr>
          <w:rFonts w:hint="eastAsia"/>
          <w:highlight w:val="none"/>
        </w:rPr>
        <w:t xml:space="preserve"> </w:t>
      </w:r>
      <w:r>
        <w:rPr>
          <w:rFonts w:hint="eastAsia" w:ascii="宋体" w:hAnsi="宋体" w:eastAsia="宋体" w:cs="宋体"/>
          <w:sz w:val="24"/>
          <w:szCs w:val="24"/>
          <w:highlight w:val="none"/>
        </w:rPr>
        <w:t>详见附件</w:t>
      </w:r>
    </w:p>
    <w:p w14:paraId="02A25F8C">
      <w:pPr>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2.4采购内容:</w:t>
      </w:r>
      <w:bookmarkStart w:id="12" w:name="_Toc529"/>
      <w:bookmarkStart w:id="13" w:name="_Toc495644244"/>
      <w:r>
        <w:rPr>
          <w:rFonts w:hint="eastAsia" w:ascii="宋体" w:hAnsi="宋体" w:eastAsia="宋体" w:cs="宋体"/>
          <w:sz w:val="24"/>
          <w:szCs w:val="24"/>
          <w:highlight w:val="none"/>
        </w:rPr>
        <w:t>详见附件</w:t>
      </w:r>
    </w:p>
    <w:p w14:paraId="4A4E5D4A">
      <w:pPr>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2.5交货时间：</w:t>
      </w:r>
      <w:r>
        <w:rPr>
          <w:rFonts w:ascii="宋体" w:hAnsi="宋体" w:eastAsia="宋体" w:cs="宋体"/>
          <w:sz w:val="24"/>
          <w:szCs w:val="24"/>
          <w:highlight w:val="none"/>
        </w:rPr>
        <w:t>2025</w:t>
      </w:r>
      <w:r>
        <w:rPr>
          <w:rFonts w:hint="eastAsia" w:ascii="宋体" w:hAnsi="宋体" w:eastAsia="宋体" w:cs="宋体"/>
          <w:sz w:val="24"/>
          <w:szCs w:val="24"/>
          <w:highlight w:val="none"/>
        </w:rPr>
        <w:t>年</w:t>
      </w:r>
      <w:r>
        <w:rPr>
          <w:rFonts w:ascii="宋体" w:hAnsi="宋体" w:eastAsia="宋体" w:cs="宋体"/>
          <w:sz w:val="24"/>
          <w:szCs w:val="24"/>
          <w:highlight w:val="none"/>
        </w:rPr>
        <w:t>0</w:t>
      </w:r>
      <w:r>
        <w:rPr>
          <w:rFonts w:hint="eastAsia" w:ascii="宋体" w:hAnsi="宋体" w:eastAsia="宋体" w:cs="宋体"/>
          <w:sz w:val="24"/>
          <w:szCs w:val="24"/>
          <w:highlight w:val="none"/>
        </w:rPr>
        <w:t>5月31日</w:t>
      </w:r>
    </w:p>
    <w:p w14:paraId="363E427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2.6到货地点：买方指定仓库地面交货</w:t>
      </w:r>
    </w:p>
    <w:p w14:paraId="0D9868F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2.7资金来源：企业自筹</w:t>
      </w:r>
    </w:p>
    <w:p w14:paraId="147B2976">
      <w:pPr>
        <w:spacing w:line="360" w:lineRule="auto"/>
        <w:ind w:left="716" w:leftChars="140" w:hanging="240" w:hangingChars="1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注：（1）以上项目具体要求详见采购文件，以采购文件技术部分为准</w:t>
      </w:r>
    </w:p>
    <w:p w14:paraId="1B953A0A">
      <w:pPr>
        <w:spacing w:line="360" w:lineRule="auto"/>
        <w:ind w:firstLine="960" w:firstLineChars="400"/>
        <w:rPr>
          <w:rFonts w:hint="eastAsia" w:ascii="宋体" w:hAnsi="宋体" w:eastAsia="宋体" w:cs="宋体"/>
          <w:bCs/>
          <w:sz w:val="24"/>
          <w:szCs w:val="24"/>
          <w:highlight w:val="none"/>
        </w:rPr>
      </w:pPr>
      <w:r>
        <w:rPr>
          <w:rFonts w:hint="eastAsia" w:ascii="宋体" w:hAnsi="宋体" w:cs="宋体"/>
          <w:bCs/>
          <w:sz w:val="24"/>
          <w:szCs w:val="24"/>
          <w:highlight w:val="none"/>
        </w:rPr>
        <w:t>（</w:t>
      </w:r>
      <w:r>
        <w:rPr>
          <w:rFonts w:hint="eastAsia" w:ascii="宋体" w:hAnsi="宋体" w:eastAsia="宋体" w:cs="宋体"/>
          <w:bCs/>
          <w:sz w:val="24"/>
          <w:szCs w:val="24"/>
          <w:highlight w:val="none"/>
        </w:rPr>
        <w:t>2）采购明细表内容与系统不符时，以系统为准</w:t>
      </w:r>
    </w:p>
    <w:p w14:paraId="7300B645">
      <w:pPr>
        <w:spacing w:line="360" w:lineRule="auto"/>
        <w:ind w:left="714" w:leftChars="210" w:firstLine="240" w:firstLineChars="100"/>
        <w:rPr>
          <w:rFonts w:ascii="宋体" w:hAnsi="宋体" w:eastAsia="宋体" w:cs="宋体"/>
          <w:bCs/>
          <w:sz w:val="24"/>
          <w:szCs w:val="24"/>
          <w:highlight w:val="none"/>
        </w:rPr>
      </w:pPr>
      <w:r>
        <w:rPr>
          <w:rFonts w:hint="eastAsia" w:ascii="宋体" w:hAnsi="宋体" w:eastAsia="宋体" w:cs="宋体"/>
          <w:bCs/>
          <w:sz w:val="24"/>
          <w:szCs w:val="24"/>
          <w:highlight w:val="none"/>
        </w:rPr>
        <w:t>（3）技术规范书中涉及货物数量与采购明细表中数量不一致，以系统为准。</w:t>
      </w:r>
    </w:p>
    <w:p w14:paraId="2012F79D">
      <w:pPr>
        <w:spacing w:line="360" w:lineRule="auto"/>
        <w:ind w:firstLine="482" w:firstLineChars="200"/>
        <w:rPr>
          <w:rFonts w:hint="eastAsia" w:ascii="宋体" w:hAnsi="宋体" w:eastAsia="宋体" w:cs="宋体"/>
          <w:b/>
          <w:sz w:val="24"/>
          <w:szCs w:val="24"/>
          <w:highlight w:val="none"/>
        </w:rPr>
      </w:pPr>
      <w:bookmarkStart w:id="14" w:name="_Toc6120"/>
      <w:bookmarkStart w:id="15" w:name="_Toc8335"/>
      <w:bookmarkStart w:id="16" w:name="_Toc58406240"/>
      <w:bookmarkStart w:id="17" w:name="_Toc54632631"/>
      <w:r>
        <w:rPr>
          <w:rFonts w:hint="eastAsia" w:ascii="宋体" w:hAnsi="宋体" w:eastAsia="宋体" w:cs="宋体"/>
          <w:b/>
          <w:sz w:val="24"/>
          <w:szCs w:val="24"/>
          <w:highlight w:val="none"/>
        </w:rPr>
        <w:t>3.</w:t>
      </w:r>
      <w:bookmarkEnd w:id="12"/>
      <w:bookmarkEnd w:id="13"/>
      <w:r>
        <w:rPr>
          <w:rFonts w:hint="eastAsia" w:ascii="宋体" w:hAnsi="宋体" w:eastAsia="宋体" w:cs="宋体"/>
          <w:b/>
          <w:sz w:val="24"/>
          <w:szCs w:val="24"/>
          <w:highlight w:val="none"/>
        </w:rPr>
        <w:t>供应商资格要求</w:t>
      </w:r>
      <w:bookmarkEnd w:id="14"/>
      <w:bookmarkEnd w:id="15"/>
      <w:bookmarkEnd w:id="16"/>
      <w:bookmarkEnd w:id="17"/>
    </w:p>
    <w:p w14:paraId="5F380D0E">
      <w:pPr>
        <w:spacing w:line="360" w:lineRule="auto"/>
        <w:ind w:firstLine="482" w:firstLineChars="200"/>
        <w:rPr>
          <w:rFonts w:hint="eastAsia" w:ascii="宋体" w:hAnsi="宋体" w:eastAsia="宋体" w:cs="宋体"/>
          <w:b/>
          <w:sz w:val="24"/>
          <w:szCs w:val="24"/>
          <w:highlight w:val="none"/>
        </w:rPr>
      </w:pPr>
      <w:bookmarkStart w:id="18" w:name="_Toc54632632"/>
      <w:bookmarkStart w:id="19" w:name="_Toc58406241"/>
      <w:bookmarkStart w:id="20" w:name="_Toc23506"/>
      <w:bookmarkStart w:id="21" w:name="_Toc11915"/>
      <w:bookmarkStart w:id="22" w:name="_Toc20511"/>
      <w:bookmarkStart w:id="23" w:name="_Toc58406242"/>
      <w:bookmarkStart w:id="24" w:name="_Toc13086"/>
      <w:bookmarkStart w:id="25" w:name="_Toc54632633"/>
      <w:r>
        <w:rPr>
          <w:rFonts w:hint="eastAsia" w:ascii="宋体" w:hAnsi="宋体" w:eastAsia="宋体" w:cs="宋体"/>
          <w:b/>
          <w:sz w:val="24"/>
          <w:szCs w:val="24"/>
          <w:highlight w:val="none"/>
        </w:rPr>
        <w:t>3.1通用资格要求</w:t>
      </w:r>
      <w:bookmarkEnd w:id="18"/>
      <w:bookmarkEnd w:id="19"/>
      <w:bookmarkEnd w:id="20"/>
      <w:bookmarkEnd w:id="21"/>
    </w:p>
    <w:p w14:paraId="671803F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3.1.1供应商须为中华人民共和国境内依法注册的独立企业法人，具有有效的营业执照；</w:t>
      </w:r>
    </w:p>
    <w:p w14:paraId="514A54F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3.1.2供应商须为增值税一般纳税人(提供增值税一般纳税人资格证明材料)并在人员、设备、资金、等方面具有保障如期服务等承担采购项目的能力；</w:t>
      </w:r>
    </w:p>
    <w:p w14:paraId="2999B05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14:paraId="0E76D94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3.1.4参加本次采购项目近三年内，在经营活动中没有重大违法记录或不良记录，有良好的财务状况和商业信誉，未处于被责令停产、财产被接管、冻结或破产状态；</w:t>
      </w:r>
    </w:p>
    <w:p w14:paraId="64C6B7F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4AE4FC1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3.1.6供应商及其法定代表人在“中国执行信息公开网”（省份选择全部）（http://zxgk.court.gov.cn/shixin/）中未被列入失信被执行人名单；</w:t>
      </w:r>
    </w:p>
    <w:p w14:paraId="761A44D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3.1.7</w:t>
      </w:r>
      <w:r>
        <w:rPr>
          <w:rFonts w:hint="eastAsia" w:ascii="宋体" w:hAnsi="宋体" w:eastAsia="宋体" w:cs="宋体"/>
          <w:spacing w:val="-11"/>
          <w:sz w:val="24"/>
          <w:szCs w:val="24"/>
          <w:highlight w:val="none"/>
        </w:rPr>
        <w:t>供应商在“国家企业信用信息公示系统网”(http://www.gsxt.gov.cn/index.html)</w:t>
      </w:r>
      <w:r>
        <w:rPr>
          <w:rFonts w:hint="eastAsia" w:ascii="宋体" w:hAnsi="宋体" w:eastAsia="宋体" w:cs="宋体"/>
          <w:sz w:val="24"/>
          <w:szCs w:val="24"/>
          <w:highlight w:val="none"/>
        </w:rPr>
        <w:t>未被列入严重违法失信企业名单(黑名单)信息；</w:t>
      </w:r>
    </w:p>
    <w:p w14:paraId="554B25C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3.1.8供应商需提供近三年中国裁判文书网(https://wenshu.court.gov.cn/）查询的供应商及法定代表人无行贿犯罪记录的截图；</w:t>
      </w:r>
    </w:p>
    <w:p w14:paraId="48A208A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3.1.9供应商未被列入中国电力企业联合公布的“中电联关于公布涉电力领域重点关注对象名单”；</w:t>
      </w:r>
    </w:p>
    <w:p w14:paraId="07BB75B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3.1.10联合体投标：不接受联合体投标。</w:t>
      </w:r>
    </w:p>
    <w:p w14:paraId="751A92AE">
      <w:pPr>
        <w:tabs>
          <w:tab w:val="left" w:pos="2687"/>
        </w:tabs>
        <w:spacing w:line="360" w:lineRule="auto"/>
        <w:ind w:firstLine="482" w:firstLineChars="200"/>
        <w:rPr>
          <w:rFonts w:ascii="宋体" w:hAnsi="宋体" w:eastAsia="宋体" w:cs="宋体"/>
          <w:b/>
          <w:sz w:val="24"/>
          <w:szCs w:val="24"/>
          <w:highlight w:val="none"/>
        </w:rPr>
      </w:pPr>
      <w:r>
        <w:rPr>
          <w:rFonts w:hint="eastAsia" w:ascii="宋体" w:hAnsi="宋体" w:eastAsia="宋体" w:cs="宋体"/>
          <w:b/>
          <w:sz w:val="24"/>
          <w:szCs w:val="24"/>
          <w:highlight w:val="none"/>
        </w:rPr>
        <w:t>3.2专用资格要求</w:t>
      </w:r>
      <w:bookmarkEnd w:id="22"/>
      <w:bookmarkEnd w:id="23"/>
      <w:bookmarkEnd w:id="24"/>
      <w:bookmarkEnd w:id="25"/>
      <w:bookmarkStart w:id="26" w:name="_Toc11301"/>
      <w:bookmarkStart w:id="27" w:name="_Toc58406243"/>
      <w:bookmarkStart w:id="28" w:name="_Toc54632634"/>
      <w:bookmarkStart w:id="29" w:name="_Toc14058"/>
      <w:r>
        <w:rPr>
          <w:rFonts w:hint="eastAsia" w:ascii="宋体" w:hAnsi="宋体" w:eastAsia="宋体" w:cs="宋体"/>
          <w:b/>
          <w:sz w:val="24"/>
          <w:szCs w:val="24"/>
          <w:highlight w:val="none"/>
        </w:rPr>
        <w:t>：</w:t>
      </w:r>
    </w:p>
    <w:p w14:paraId="3674FB19">
      <w:pPr>
        <w:tabs>
          <w:tab w:val="left" w:pos="2687"/>
        </w:tabs>
        <w:spacing w:line="360" w:lineRule="auto"/>
        <w:ind w:firstLine="482" w:firstLineChars="200"/>
        <w:rPr>
          <w:rFonts w:ascii="宋体" w:hAnsi="宋体" w:eastAsia="宋体" w:cs="宋体"/>
          <w:b/>
          <w:sz w:val="24"/>
          <w:szCs w:val="24"/>
          <w:highlight w:val="none"/>
        </w:rPr>
      </w:pPr>
      <w:r>
        <w:rPr>
          <w:rFonts w:hint="eastAsia" w:ascii="宋体" w:hAnsi="宋体" w:eastAsia="宋体" w:cs="宋体"/>
          <w:b/>
          <w:sz w:val="24"/>
          <w:szCs w:val="24"/>
          <w:highlight w:val="none"/>
        </w:rPr>
        <w:t>3.2.1、第</w:t>
      </w:r>
      <w:r>
        <w:rPr>
          <w:rFonts w:ascii="宋体" w:hAnsi="宋体" w:eastAsia="宋体" w:cs="宋体"/>
          <w:b/>
          <w:sz w:val="24"/>
          <w:szCs w:val="24"/>
          <w:highlight w:val="none"/>
        </w:rPr>
        <w:t>HG20250104-190</w:t>
      </w:r>
      <w:r>
        <w:rPr>
          <w:rFonts w:hint="eastAsia" w:ascii="宋体" w:hAnsi="宋体" w:eastAsia="宋体" w:cs="宋体"/>
          <w:b/>
          <w:sz w:val="24"/>
          <w:szCs w:val="24"/>
          <w:highlight w:val="none"/>
        </w:rPr>
        <w:t>-1标段供应商需为内蒙古电力(集团)有限责任公司2023年度设备材料供应商资格预审合格供应商，提供第97标段（0.4kV绝缘导线、橡皮线、防老化线、地埋线、集束导线）的内蒙古电力(集团)有限责任公司2023年度设备材料供应商资格预审合格通知书</w:t>
      </w:r>
      <w:r>
        <w:rPr>
          <w:rFonts w:ascii="宋体" w:hAnsi="宋体" w:eastAsia="宋体" w:cs="宋体"/>
          <w:b/>
          <w:sz w:val="24"/>
          <w:szCs w:val="24"/>
          <w:highlight w:val="none"/>
        </w:rPr>
        <w:t xml:space="preserve"> </w:t>
      </w:r>
      <w:r>
        <w:rPr>
          <w:rFonts w:hint="eastAsia" w:ascii="宋体" w:hAnsi="宋体" w:eastAsia="宋体" w:cs="宋体"/>
          <w:b/>
          <w:sz w:val="24"/>
          <w:szCs w:val="24"/>
          <w:highlight w:val="none"/>
        </w:rPr>
        <w:t>；</w:t>
      </w:r>
    </w:p>
    <w:p w14:paraId="50B13660">
      <w:pPr>
        <w:pStyle w:val="2"/>
        <w:spacing w:line="360" w:lineRule="auto"/>
        <w:ind w:left="0" w:firstLine="482" w:firstLineChars="200"/>
        <w:rPr>
          <w:rFonts w:ascii="宋体" w:hAnsi="宋体" w:cs="宋体"/>
          <w:bCs w:val="0"/>
          <w:kern w:val="2"/>
          <w:sz w:val="24"/>
          <w:szCs w:val="24"/>
          <w:highlight w:val="none"/>
        </w:rPr>
      </w:pPr>
      <w:r>
        <w:rPr>
          <w:rFonts w:hint="eastAsia" w:ascii="宋体" w:hAnsi="宋体" w:cs="宋体"/>
          <w:bCs w:val="0"/>
          <w:kern w:val="2"/>
          <w:sz w:val="24"/>
          <w:szCs w:val="24"/>
          <w:highlight w:val="none"/>
        </w:rPr>
        <w:t>3.2.2、第</w:t>
      </w:r>
      <w:r>
        <w:rPr>
          <w:rFonts w:ascii="宋体" w:hAnsi="宋体" w:cs="宋体"/>
          <w:bCs w:val="0"/>
          <w:kern w:val="2"/>
          <w:sz w:val="24"/>
          <w:szCs w:val="24"/>
          <w:highlight w:val="none"/>
        </w:rPr>
        <w:t>HG20250104-190</w:t>
      </w:r>
      <w:r>
        <w:rPr>
          <w:rFonts w:hint="eastAsia" w:ascii="宋体" w:hAnsi="宋体" w:cs="宋体"/>
          <w:bCs w:val="0"/>
          <w:kern w:val="2"/>
          <w:sz w:val="24"/>
          <w:szCs w:val="24"/>
          <w:highlight w:val="none"/>
        </w:rPr>
        <w:t>-2标段供应商需为内蒙古电力(集团)有限责任公司2023年度设备材料供应商资格预审合格供应商，提供第126标段（二次设备-低压屏（柜）、箱）的内蒙古电力(集团)有限责任公司2023年度设备材料供应商资格预审合格通知书</w:t>
      </w:r>
      <w:r>
        <w:rPr>
          <w:rFonts w:ascii="宋体" w:hAnsi="宋体" w:cs="宋体"/>
          <w:bCs w:val="0"/>
          <w:kern w:val="2"/>
          <w:sz w:val="24"/>
          <w:szCs w:val="24"/>
          <w:highlight w:val="none"/>
        </w:rPr>
        <w:t xml:space="preserve"> </w:t>
      </w:r>
      <w:r>
        <w:rPr>
          <w:rFonts w:hint="eastAsia" w:ascii="宋体" w:hAnsi="宋体" w:cs="宋体"/>
          <w:bCs w:val="0"/>
          <w:kern w:val="2"/>
          <w:sz w:val="24"/>
          <w:szCs w:val="24"/>
          <w:highlight w:val="none"/>
        </w:rPr>
        <w:t>；</w:t>
      </w:r>
    </w:p>
    <w:p w14:paraId="74A8BD45">
      <w:pPr>
        <w:pStyle w:val="6"/>
        <w:ind w:left="0" w:leftChars="0"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3.2.3、第</w:t>
      </w:r>
      <w:r>
        <w:rPr>
          <w:rFonts w:ascii="宋体" w:hAnsi="宋体" w:eastAsia="宋体" w:cs="宋体"/>
          <w:b/>
          <w:sz w:val="24"/>
          <w:szCs w:val="24"/>
          <w:highlight w:val="none"/>
        </w:rPr>
        <w:t>HG20250104-19</w:t>
      </w:r>
      <w:r>
        <w:rPr>
          <w:rFonts w:hint="eastAsia" w:ascii="宋体" w:hAnsi="宋体" w:eastAsia="宋体" w:cs="宋体"/>
          <w:b/>
          <w:sz w:val="24"/>
          <w:szCs w:val="24"/>
          <w:highlight w:val="none"/>
        </w:rPr>
        <w:t>3标段供应商需为内蒙古电力(集团)有限责任公司2023年度设备材料供应商资格预审合格供应商，提供第</w:t>
      </w:r>
      <w:r>
        <w:rPr>
          <w:rFonts w:ascii="宋体" w:hAnsi="宋体" w:eastAsia="宋体" w:cs="宋体"/>
          <w:b/>
          <w:sz w:val="24"/>
          <w:szCs w:val="24"/>
          <w:highlight w:val="none"/>
        </w:rPr>
        <w:t>49</w:t>
      </w:r>
      <w:r>
        <w:rPr>
          <w:rFonts w:hint="eastAsia" w:ascii="宋体" w:hAnsi="宋体" w:eastAsia="宋体" w:cs="宋体"/>
          <w:b/>
          <w:sz w:val="24"/>
          <w:szCs w:val="24"/>
          <w:highlight w:val="none"/>
        </w:rPr>
        <w:t>标段（消弧线圈）的内蒙古电力(集团)有限责任公司2023年度设备材料供应商资格预审合格通知书</w:t>
      </w:r>
      <w:r>
        <w:rPr>
          <w:rFonts w:ascii="宋体" w:hAnsi="宋体" w:eastAsia="宋体" w:cs="宋体"/>
          <w:b/>
          <w:sz w:val="24"/>
          <w:szCs w:val="24"/>
          <w:highlight w:val="none"/>
        </w:rPr>
        <w:t xml:space="preserve"> </w:t>
      </w:r>
      <w:r>
        <w:rPr>
          <w:rFonts w:hint="eastAsia" w:ascii="宋体" w:hAnsi="宋体" w:eastAsia="宋体" w:cs="宋体"/>
          <w:b/>
          <w:sz w:val="24"/>
          <w:szCs w:val="24"/>
          <w:highlight w:val="none"/>
        </w:rPr>
        <w:t>；</w:t>
      </w:r>
    </w:p>
    <w:p w14:paraId="7700CF30">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4.报名及采购文件的获取</w:t>
      </w:r>
      <w:bookmarkEnd w:id="26"/>
      <w:bookmarkEnd w:id="27"/>
      <w:bookmarkEnd w:id="28"/>
      <w:bookmarkEnd w:id="29"/>
    </w:p>
    <w:p w14:paraId="2BA725B5">
      <w:pPr>
        <w:spacing w:line="360" w:lineRule="auto"/>
        <w:ind w:firstLine="480" w:firstLineChars="200"/>
        <w:rPr>
          <w:rFonts w:hint="eastAsia" w:ascii="宋体" w:hAnsi="宋体" w:eastAsia="宋体" w:cs="宋体"/>
          <w:sz w:val="24"/>
          <w:szCs w:val="24"/>
          <w:highlight w:val="none"/>
        </w:rPr>
      </w:pPr>
      <w:bookmarkStart w:id="30" w:name="_Toc495644245"/>
      <w:r>
        <w:rPr>
          <w:rFonts w:hint="eastAsia" w:ascii="宋体" w:hAnsi="宋体" w:eastAsia="宋体" w:cs="宋体"/>
          <w:sz w:val="24"/>
          <w:szCs w:val="24"/>
          <w:highlight w:val="none"/>
        </w:rPr>
        <w:t>4.1采购文件售价：本项目不收取采购文件费</w:t>
      </w:r>
    </w:p>
    <w:p w14:paraId="424AA436">
      <w:pPr>
        <w:wordWrap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4.2本项目实行在线报名和下载采购文件。凡有意参加的供应商，请于2025年4月14日至2025年4月16日下午 17:00 前（北京时间），进入《内蒙古电力集团电子采购系统》（</w:t>
      </w:r>
      <w:r>
        <w:rPr>
          <w:rFonts w:ascii="宋体" w:hAnsi="宋体" w:eastAsia="宋体" w:cs="宋体"/>
          <w:sz w:val="24"/>
          <w:szCs w:val="24"/>
          <w:highlight w:val="none"/>
        </w:rPr>
        <w:t>http://guocai-impc.cppchina.cn</w:t>
      </w:r>
      <w:r>
        <w:rPr>
          <w:rFonts w:hint="eastAsia" w:ascii="宋体" w:hAnsi="宋体" w:eastAsia="宋体" w:cs="宋体"/>
          <w:sz w:val="24"/>
          <w:szCs w:val="24"/>
          <w:highlight w:val="none"/>
        </w:rPr>
        <w:t>）在线报名和下载文件，逾期不予受理。</w:t>
      </w:r>
    </w:p>
    <w:p w14:paraId="038C91F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4.2.1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6109BEC8">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sz w:val="24"/>
          <w:szCs w:val="24"/>
          <w:highlight w:val="none"/>
        </w:rPr>
        <w:t>4</w:t>
      </w:r>
      <w:r>
        <w:rPr>
          <w:rFonts w:hint="eastAsia" w:ascii="宋体" w:hAnsi="宋体" w:eastAsia="宋体" w:cs="宋体"/>
          <w:bCs/>
          <w:sz w:val="24"/>
          <w:szCs w:val="24"/>
          <w:highlight w:val="none"/>
        </w:rPr>
        <w:t>.2.2具体流程为：</w:t>
      </w:r>
    </w:p>
    <w:p w14:paraId="63BB2418">
      <w:pPr>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w:t>
      </w:r>
      <w:r>
        <w:rPr>
          <w:rFonts w:ascii="宋体" w:hAnsi="宋体" w:eastAsia="宋体" w:cs="宋体"/>
          <w:sz w:val="24"/>
          <w:szCs w:val="24"/>
          <w:highlight w:val="none"/>
        </w:rPr>
        <w:t>1</w:t>
      </w:r>
      <w:r>
        <w:rPr>
          <w:rFonts w:hint="eastAsia" w:ascii="宋体" w:hAnsi="宋体" w:eastAsia="宋体" w:cs="宋体"/>
          <w:sz w:val="24"/>
          <w:szCs w:val="24"/>
          <w:highlight w:val="none"/>
        </w:rPr>
        <w:t>）具体流程为：登录平台→在报名管理界面查看最新招标项目→供应商提交报名资料，通过资格查验的供应商报名后通过“文件下载”界面下载采购文件，平台联系电话：</w:t>
      </w:r>
      <w:r>
        <w:rPr>
          <w:rFonts w:ascii="宋体" w:hAnsi="宋体" w:eastAsia="宋体" w:cs="宋体"/>
          <w:sz w:val="24"/>
          <w:szCs w:val="24"/>
          <w:highlight w:val="none"/>
        </w:rPr>
        <w:t>400-9913-966</w:t>
      </w:r>
      <w:r>
        <w:rPr>
          <w:rFonts w:hint="eastAsia" w:ascii="宋体" w:hAnsi="宋体" w:eastAsia="宋体" w:cs="宋体"/>
          <w:sz w:val="24"/>
          <w:szCs w:val="24"/>
          <w:highlight w:val="none"/>
        </w:rPr>
        <w:t>。</w:t>
      </w:r>
    </w:p>
    <w:p w14:paraId="37902C80">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sz w:val="24"/>
          <w:szCs w:val="24"/>
          <w:highlight w:val="none"/>
        </w:rPr>
        <w:t>（</w:t>
      </w:r>
      <w:r>
        <w:rPr>
          <w:rFonts w:ascii="宋体" w:hAnsi="宋体" w:eastAsia="宋体" w:cs="宋体"/>
          <w:sz w:val="24"/>
          <w:szCs w:val="24"/>
          <w:highlight w:val="none"/>
        </w:rPr>
        <w:t>2</w:t>
      </w:r>
      <w:r>
        <w:rPr>
          <w:rFonts w:hint="eastAsia" w:ascii="宋体" w:hAnsi="宋体" w:eastAsia="宋体" w:cs="宋体"/>
          <w:sz w:val="24"/>
          <w:szCs w:val="24"/>
          <w:highlight w:val="none"/>
        </w:rPr>
        <w:t>）报名单位须凭【中招互连】</w:t>
      </w:r>
      <w:r>
        <w:rPr>
          <w:rFonts w:ascii="宋体" w:hAnsi="宋体" w:eastAsia="宋体" w:cs="宋体"/>
          <w:sz w:val="24"/>
          <w:szCs w:val="24"/>
          <w:highlight w:val="none"/>
        </w:rPr>
        <w:t>APP</w:t>
      </w:r>
      <w:r>
        <w:rPr>
          <w:rFonts w:hint="eastAsia" w:ascii="宋体" w:hAnsi="宋体" w:eastAsia="宋体" w:cs="宋体"/>
          <w:sz w:val="24"/>
          <w:szCs w:val="24"/>
          <w:highlight w:val="none"/>
        </w:rPr>
        <w:t>办理项目后续电子投标事宜，之前未进行注册【中招互连】</w:t>
      </w:r>
      <w:r>
        <w:rPr>
          <w:rFonts w:ascii="宋体" w:hAnsi="宋体" w:eastAsia="宋体" w:cs="宋体"/>
          <w:sz w:val="24"/>
          <w:szCs w:val="24"/>
          <w:highlight w:val="none"/>
        </w:rPr>
        <w:t>APP</w:t>
      </w:r>
      <w:r>
        <w:rPr>
          <w:rFonts w:hint="eastAsia" w:ascii="宋体" w:hAnsi="宋体" w:eastAsia="宋体" w:cs="宋体"/>
          <w:sz w:val="24"/>
          <w:szCs w:val="24"/>
          <w:highlight w:val="none"/>
        </w:rPr>
        <w:t>的企业需要下载【中招互连】</w:t>
      </w:r>
      <w:r>
        <w:rPr>
          <w:rFonts w:ascii="宋体" w:hAnsi="宋体" w:eastAsia="宋体" w:cs="宋体"/>
          <w:sz w:val="24"/>
          <w:szCs w:val="24"/>
          <w:highlight w:val="none"/>
        </w:rPr>
        <w:t>APP</w:t>
      </w:r>
      <w:r>
        <w:rPr>
          <w:rFonts w:hint="eastAsia" w:ascii="宋体" w:hAnsi="宋体" w:eastAsia="宋体" w:cs="宋体"/>
          <w:sz w:val="24"/>
          <w:szCs w:val="24"/>
          <w:highlight w:val="none"/>
        </w:rPr>
        <w:t>，根据提示即可在线办理相关事宜，后续所有流程全部扫码登录，扫码签章，扫码加密，扫码解密。</w:t>
      </w:r>
    </w:p>
    <w:p w14:paraId="469782B2">
      <w:pPr>
        <w:widowControl/>
        <w:shd w:val="clear" w:color="auto" w:fill="FFFFFF"/>
        <w:spacing w:before="100" w:after="100"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4.3竞标报名资料</w:t>
      </w:r>
    </w:p>
    <w:bookmarkEnd w:id="30"/>
    <w:p w14:paraId="47CABFB5">
      <w:pPr>
        <w:widowControl/>
        <w:shd w:val="clear" w:color="auto" w:fill="FFFFFF"/>
        <w:spacing w:before="100" w:after="100"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1A1A1947">
      <w:pPr>
        <w:widowControl/>
        <w:shd w:val="clear" w:color="auto" w:fill="FFFFFF"/>
        <w:spacing w:before="100" w:after="100"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4.3.1报名信息表（详见公告附件）；</w:t>
      </w:r>
    </w:p>
    <w:p w14:paraId="660BF9B1">
      <w:pPr>
        <w:widowControl/>
        <w:shd w:val="clear" w:color="auto" w:fill="FFFFFF"/>
        <w:spacing w:before="100" w:after="100"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4.3.2法定代表人授权委托书（详见公告附件）； </w:t>
      </w:r>
    </w:p>
    <w:p w14:paraId="41E865EF">
      <w:pPr>
        <w:widowControl/>
        <w:shd w:val="clear" w:color="auto" w:fill="FFFFFF"/>
        <w:spacing w:before="100" w:after="100"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4.3.3载有统一社会信用代码的营业执照扫描件；</w:t>
      </w:r>
    </w:p>
    <w:p w14:paraId="4F1EAFB3">
      <w:pPr>
        <w:widowControl/>
        <w:shd w:val="clear" w:color="auto" w:fill="FFFFFF"/>
        <w:spacing w:before="100" w:after="100"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4.3.4提供一般纳税人登记表或税务局相关网站查询截图或开具的增值税发票或税务局出具的相关证明等；</w:t>
      </w:r>
    </w:p>
    <w:p w14:paraId="36F885AE">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4.3.5供应商专用资格要求中所需资料扫描件；</w:t>
      </w:r>
    </w:p>
    <w:p w14:paraId="49F2FBAB">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4.3.6供应商及其法定代表人在“中国执行信息公开网”（省份选择全部）（http://zxgk.court.gov.cn/shixin/）”查询显示未被列入失信被执行人名单查询结果截图；(详见公告附件3)</w:t>
      </w:r>
    </w:p>
    <w:p w14:paraId="47EA086C">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4.3.7供应商在“国家企业信用信息公示系统网(http://www.gsxt.gov.cn/index.html)未被列入严重违法失信企业名单(黑名单)信息；(详见公告附件)</w:t>
      </w:r>
    </w:p>
    <w:p w14:paraId="2DF67DD0">
      <w:pPr>
        <w:widowControl/>
        <w:shd w:val="clear" w:color="auto" w:fill="FFFFFF"/>
        <w:wordWrap w:val="0"/>
        <w:spacing w:before="100" w:after="100"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sz w:val="24"/>
          <w:szCs w:val="24"/>
          <w:highlight w:val="none"/>
        </w:rPr>
        <w:t>4.3.8供应商在中国裁判文书网(https://wenshu.court.gov.cn/)显示供应商及法定代表人近三年无行贿犯罪记录；(详见公告附件)</w:t>
      </w:r>
    </w:p>
    <w:p w14:paraId="7A956925">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4.3.9企业如有变更，需提供有关行政机关提供的变更证明材料；</w:t>
      </w:r>
    </w:p>
    <w:p w14:paraId="7DAA5641">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4.3.10真实性承诺书。（格式详见附件）</w:t>
      </w:r>
    </w:p>
    <w:p w14:paraId="33D9ABCE">
      <w:pPr>
        <w:widowControl/>
        <w:shd w:val="clear" w:color="auto" w:fill="FFFFFF"/>
        <w:spacing w:before="100" w:after="100" w:line="360" w:lineRule="auto"/>
        <w:ind w:firstLine="482" w:firstLineChars="200"/>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注：A、上述要求是对供应商的基本要求，如按照行业及相关部门另有规定的遵循其规定，供应商应提供相应的证明或资信材料；</w:t>
      </w:r>
    </w:p>
    <w:p w14:paraId="41B2A6D4">
      <w:pPr>
        <w:numPr>
          <w:ilvl w:val="0"/>
          <w:numId w:val="1"/>
        </w:numPr>
        <w:autoSpaceDE w:val="0"/>
        <w:autoSpaceDN w:val="0"/>
        <w:adjustRightInd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kern w:val="0"/>
          <w:sz w:val="24"/>
          <w:szCs w:val="24"/>
          <w:highlight w:val="none"/>
        </w:rPr>
        <w:t>如发现存在虚假资料，采购人取消其竞标/中标资格，由此造成的后果由竞标/成交供应商自负，并承担相应的法律责任；</w:t>
      </w:r>
      <w:r>
        <w:rPr>
          <w:rFonts w:hint="eastAsia" w:ascii="宋体" w:hAnsi="宋体" w:eastAsia="宋体" w:cs="宋体"/>
          <w:sz w:val="24"/>
          <w:szCs w:val="24"/>
          <w:highlight w:val="none"/>
        </w:rPr>
        <w:t xml:space="preserve"> </w:t>
      </w:r>
    </w:p>
    <w:p w14:paraId="6964A6DE">
      <w:pPr>
        <w:numPr>
          <w:ilvl w:val="0"/>
          <w:numId w:val="1"/>
        </w:numPr>
        <w:autoSpaceDE w:val="0"/>
        <w:autoSpaceDN w:val="0"/>
        <w:adjustRightInd w:val="0"/>
        <w:spacing w:line="360" w:lineRule="auto"/>
        <w:ind w:firstLine="482" w:firstLineChars="200"/>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p>
    <w:p w14:paraId="142944FA">
      <w:pPr>
        <w:numPr>
          <w:ilvl w:val="0"/>
          <w:numId w:val="1"/>
        </w:numPr>
        <w:autoSpaceDE w:val="0"/>
        <w:autoSpaceDN w:val="0"/>
        <w:adjustRightInd w:val="0"/>
        <w:spacing w:line="360" w:lineRule="auto"/>
        <w:ind w:firstLine="482" w:firstLineChars="200"/>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为提高报名工作效率，投多个标段的请供应商按标段分别对应上传相应报名资料，严禁上传与本标段无关资料，否则，采购人有权拒绝；</w:t>
      </w:r>
    </w:p>
    <w:p w14:paraId="59B41FA2">
      <w:pPr>
        <w:spacing w:line="360" w:lineRule="auto"/>
        <w:ind w:firstLine="482" w:firstLineChars="200"/>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E、供应商上传的报名资料中，检验报告及合同可以只附关键页，关键页是指能体现供应商名称、检验产品名称、结论、签订合同时间、签订金额等即可。</w:t>
      </w:r>
    </w:p>
    <w:p w14:paraId="1A4A5107">
      <w:pPr>
        <w:spacing w:line="360" w:lineRule="auto"/>
        <w:ind w:firstLine="482" w:firstLineChars="200"/>
        <w:rPr>
          <w:rFonts w:hint="eastAsia" w:ascii="宋体" w:hAnsi="宋体" w:eastAsia="宋体" w:cs="宋体"/>
          <w:b/>
          <w:sz w:val="24"/>
          <w:szCs w:val="24"/>
          <w:highlight w:val="none"/>
        </w:rPr>
      </w:pPr>
      <w:bookmarkStart w:id="31" w:name="_Toc495645074"/>
      <w:bookmarkStart w:id="32" w:name="_Toc54632635"/>
      <w:bookmarkStart w:id="33" w:name="_Toc19515"/>
      <w:bookmarkStart w:id="34" w:name="_Toc21923"/>
      <w:bookmarkStart w:id="35" w:name="_Toc58406244"/>
      <w:bookmarkStart w:id="36" w:name="_Toc11424"/>
      <w:r>
        <w:rPr>
          <w:rFonts w:hint="eastAsia" w:ascii="宋体" w:hAnsi="宋体" w:eastAsia="宋体" w:cs="宋体"/>
          <w:b/>
          <w:sz w:val="24"/>
          <w:szCs w:val="24"/>
          <w:highlight w:val="none"/>
        </w:rPr>
        <w:t>5.响应文件的递交</w:t>
      </w:r>
      <w:bookmarkEnd w:id="31"/>
      <w:bookmarkEnd w:id="32"/>
      <w:bookmarkEnd w:id="33"/>
      <w:bookmarkEnd w:id="34"/>
      <w:bookmarkEnd w:id="35"/>
      <w:bookmarkEnd w:id="36"/>
      <w:r>
        <w:rPr>
          <w:rFonts w:hint="eastAsia" w:ascii="宋体" w:hAnsi="宋体" w:eastAsia="宋体" w:cs="宋体"/>
          <w:b/>
          <w:sz w:val="24"/>
          <w:szCs w:val="24"/>
          <w:highlight w:val="none"/>
        </w:rPr>
        <w:t xml:space="preserve"> </w:t>
      </w:r>
    </w:p>
    <w:p w14:paraId="6CE545E8">
      <w:pPr>
        <w:spacing w:line="360" w:lineRule="auto"/>
        <w:ind w:firstLine="480" w:firstLineChars="200"/>
        <w:rPr>
          <w:rFonts w:hint="eastAsia" w:ascii="宋体" w:hAnsi="宋体" w:eastAsia="宋体" w:cs="宋体"/>
          <w:sz w:val="24"/>
          <w:szCs w:val="24"/>
          <w:highlight w:val="none"/>
        </w:rPr>
      </w:pPr>
      <w:bookmarkStart w:id="37" w:name="_Toc21201"/>
      <w:r>
        <w:rPr>
          <w:rFonts w:hint="eastAsia" w:ascii="宋体" w:hAnsi="宋体" w:eastAsia="宋体" w:cs="宋体"/>
          <w:sz w:val="24"/>
          <w:szCs w:val="24"/>
          <w:highlight w:val="none"/>
        </w:rPr>
        <w:t>5.1电子响应文件请于递交响应文件截止时间之前上传到“内蒙古电力集团电子采购系统”，递交响应文件截止时间后上传的响应文件恕不接收。本项目采用远程开标方式，不接收纸质响应文件，逾期送达的响应文件，“内蒙古电力集团电子采购系统”将不予接收。</w:t>
      </w:r>
    </w:p>
    <w:p w14:paraId="10A0DD9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5.2供应商对网上递交的响应文件应加密。登录【中招互连】APP对响应文件进行加密功能（如果供应商使用A手机号码对响应文件进行了扫码加密，必须需要使用A手机号码进行扫码解密，才能读取或导入响应文件）。</w:t>
      </w:r>
    </w:p>
    <w:p w14:paraId="5726EADE">
      <w:pPr>
        <w:keepNext/>
        <w:keepLines/>
        <w:spacing w:line="360" w:lineRule="auto"/>
        <w:ind w:firstLine="482" w:firstLineChars="200"/>
        <w:rPr>
          <w:rFonts w:hint="eastAsia" w:ascii="宋体" w:hAnsi="宋体" w:eastAsia="宋体" w:cs="宋体"/>
          <w:b/>
          <w:sz w:val="24"/>
          <w:szCs w:val="24"/>
          <w:highlight w:val="none"/>
        </w:rPr>
      </w:pPr>
      <w:bookmarkStart w:id="38" w:name="_Toc54632636"/>
      <w:bookmarkStart w:id="39" w:name="_Toc26010"/>
      <w:bookmarkStart w:id="40" w:name="_Toc11300"/>
      <w:bookmarkStart w:id="41" w:name="_Toc58406245"/>
      <w:r>
        <w:rPr>
          <w:rFonts w:hint="eastAsia" w:ascii="宋体" w:hAnsi="宋体" w:eastAsia="宋体" w:cs="宋体"/>
          <w:b/>
          <w:sz w:val="24"/>
          <w:szCs w:val="24"/>
          <w:highlight w:val="none"/>
        </w:rPr>
        <w:t>6.资格审查：</w:t>
      </w:r>
      <w:bookmarkEnd w:id="37"/>
      <w:bookmarkEnd w:id="38"/>
      <w:bookmarkEnd w:id="39"/>
      <w:bookmarkEnd w:id="40"/>
      <w:bookmarkEnd w:id="41"/>
    </w:p>
    <w:p w14:paraId="75E1677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本次采购采取资格后审方式，开标后由评标委员会统一进行资格审查，详见采购文件。资格审查时，供应商提供的资料不全或不合格的，均不能通过资格后审，其响应文件将被否决。</w:t>
      </w:r>
    </w:p>
    <w:p w14:paraId="18C392DD">
      <w:pPr>
        <w:spacing w:line="360" w:lineRule="auto"/>
        <w:ind w:firstLine="482" w:firstLineChars="200"/>
        <w:rPr>
          <w:rFonts w:hint="eastAsia" w:ascii="宋体" w:hAnsi="宋体" w:eastAsia="宋体" w:cs="宋体"/>
          <w:b/>
          <w:sz w:val="24"/>
          <w:szCs w:val="24"/>
          <w:highlight w:val="none"/>
        </w:rPr>
      </w:pPr>
      <w:bookmarkStart w:id="42" w:name="_Toc26331"/>
      <w:bookmarkStart w:id="43" w:name="_Toc260"/>
      <w:bookmarkStart w:id="44" w:name="_Toc54632637"/>
      <w:bookmarkStart w:id="45" w:name="_Toc58406246"/>
      <w:bookmarkStart w:id="46" w:name="_Toc4184"/>
      <w:r>
        <w:rPr>
          <w:rFonts w:hint="eastAsia" w:ascii="宋体" w:hAnsi="宋体" w:eastAsia="宋体" w:cs="宋体"/>
          <w:b/>
          <w:sz w:val="24"/>
          <w:szCs w:val="24"/>
          <w:highlight w:val="none"/>
        </w:rPr>
        <w:t>7.截标及开标时间：</w:t>
      </w:r>
      <w:bookmarkEnd w:id="42"/>
      <w:bookmarkEnd w:id="43"/>
      <w:bookmarkEnd w:id="44"/>
      <w:bookmarkEnd w:id="45"/>
      <w:bookmarkEnd w:id="46"/>
    </w:p>
    <w:p w14:paraId="546E09C4">
      <w:pPr>
        <w:spacing w:line="360" w:lineRule="auto"/>
        <w:ind w:firstLine="480" w:firstLineChars="200"/>
        <w:rPr>
          <w:rFonts w:hint="eastAsia" w:ascii="宋体" w:hAnsi="宋体" w:eastAsia="宋体" w:cs="宋体"/>
          <w:sz w:val="24"/>
          <w:szCs w:val="24"/>
          <w:highlight w:val="none"/>
        </w:rPr>
      </w:pPr>
      <w:bookmarkStart w:id="47" w:name="_Toc8804"/>
      <w:bookmarkStart w:id="48" w:name="_Toc54632638"/>
      <w:bookmarkStart w:id="49" w:name="_Toc58406247"/>
      <w:bookmarkStart w:id="50" w:name="_Toc24008"/>
      <w:bookmarkStart w:id="51" w:name="_Toc5776"/>
      <w:r>
        <w:rPr>
          <w:rFonts w:hint="eastAsia" w:ascii="宋体" w:hAnsi="宋体" w:eastAsia="宋体" w:cs="宋体"/>
          <w:sz w:val="24"/>
          <w:szCs w:val="24"/>
          <w:highlight w:val="none"/>
        </w:rPr>
        <w:t>响应文件上传时间：2025年04月14日上午09:00～2025年04月27日上午9:00</w:t>
      </w:r>
    </w:p>
    <w:p w14:paraId="2596D6E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竞标报价截止时间：2025年04月27日上午9:00</w:t>
      </w:r>
    </w:p>
    <w:p w14:paraId="30DE74C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开标时间：2025年04月27日上午9:00</w:t>
      </w:r>
    </w:p>
    <w:p w14:paraId="7EE1C1A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商务、技术、经济标签到、解密时间：2025年04月27日上午9:00</w:t>
      </w:r>
    </w:p>
    <w:p w14:paraId="6DE3B050">
      <w:pPr>
        <w:keepNext/>
        <w:keepLines/>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8.解密方式及截标开标地点：</w:t>
      </w:r>
      <w:bookmarkEnd w:id="47"/>
      <w:bookmarkEnd w:id="48"/>
      <w:bookmarkEnd w:id="49"/>
      <w:bookmarkEnd w:id="50"/>
      <w:bookmarkEnd w:id="51"/>
    </w:p>
    <w:p w14:paraId="5B58BAB8">
      <w:pPr>
        <w:spacing w:line="360" w:lineRule="auto"/>
        <w:ind w:firstLine="480" w:firstLineChars="200"/>
        <w:rPr>
          <w:rFonts w:hint="eastAsia" w:ascii="宋体" w:hAnsi="宋体" w:eastAsia="宋体" w:cs="宋体"/>
          <w:sz w:val="24"/>
          <w:szCs w:val="24"/>
          <w:highlight w:val="none"/>
        </w:rPr>
      </w:pPr>
      <w:bookmarkStart w:id="52" w:name="_Toc15241"/>
      <w:r>
        <w:rPr>
          <w:rFonts w:hint="eastAsia" w:ascii="宋体" w:hAnsi="宋体" w:eastAsia="宋体" w:cs="宋体"/>
          <w:sz w:val="24"/>
          <w:szCs w:val="24"/>
          <w:highlight w:val="none"/>
        </w:rPr>
        <w:t>远程解密：供应商于递交响应文件截止时间在原单位使用原上传文件电脑通过登录【中招互连】APP或进行响应文件的远程解密（届时请持上传文件时所使用的手机提前30分钟等候在电脑前准备参加文件解密，需保持电脑网络通畅）。</w:t>
      </w:r>
    </w:p>
    <w:bookmarkEnd w:id="52"/>
    <w:p w14:paraId="7C7CA5BC">
      <w:pPr>
        <w:spacing w:line="360" w:lineRule="auto"/>
        <w:ind w:firstLine="482" w:firstLineChars="200"/>
        <w:rPr>
          <w:rFonts w:hint="eastAsia" w:ascii="宋体" w:hAnsi="宋体" w:eastAsia="宋体" w:cs="宋体"/>
          <w:b/>
          <w:bCs/>
          <w:sz w:val="24"/>
          <w:szCs w:val="24"/>
          <w:highlight w:val="none"/>
        </w:rPr>
      </w:pPr>
      <w:bookmarkStart w:id="53" w:name="_Toc495645075"/>
      <w:bookmarkStart w:id="54" w:name="_Toc13484"/>
      <w:r>
        <w:rPr>
          <w:rFonts w:hint="eastAsia" w:ascii="宋体" w:hAnsi="宋体" w:eastAsia="宋体" w:cs="宋体"/>
          <w:b/>
          <w:bCs/>
          <w:sz w:val="24"/>
          <w:szCs w:val="24"/>
          <w:highlight w:val="none"/>
        </w:rPr>
        <w:t>开标现场地点：内蒙古产权交易中心有限责任公司开标室</w:t>
      </w:r>
    </w:p>
    <w:p w14:paraId="6B4CB7D1">
      <w:pPr>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地址：呼和浩特市赛罕区阿吉泰路3号</w:t>
      </w:r>
    </w:p>
    <w:p w14:paraId="5C440EE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如果截标或开标时间及地点有改变，代理机构将提前通知，逾期提交的响应文件将不予受理，不接受邮寄方式提交响应文件。</w:t>
      </w:r>
    </w:p>
    <w:p w14:paraId="3CE666DB">
      <w:pPr>
        <w:spacing w:line="360" w:lineRule="auto"/>
        <w:ind w:firstLine="482" w:firstLineChars="200"/>
        <w:rPr>
          <w:rFonts w:hint="eastAsia" w:ascii="宋体" w:hAnsi="宋体" w:eastAsia="宋体" w:cs="宋体"/>
          <w:b/>
          <w:sz w:val="24"/>
          <w:szCs w:val="24"/>
          <w:highlight w:val="none"/>
        </w:rPr>
      </w:pPr>
      <w:bookmarkStart w:id="55" w:name="_Toc18343"/>
      <w:bookmarkStart w:id="56" w:name="_Toc23124"/>
      <w:bookmarkStart w:id="57" w:name="_Toc54632639"/>
      <w:bookmarkStart w:id="58" w:name="_Toc58406248"/>
      <w:r>
        <w:rPr>
          <w:rFonts w:hint="eastAsia" w:ascii="宋体" w:hAnsi="宋体" w:eastAsia="宋体" w:cs="宋体"/>
          <w:b/>
          <w:sz w:val="24"/>
          <w:szCs w:val="24"/>
          <w:highlight w:val="none"/>
        </w:rPr>
        <w:t>9.采购费用：</w:t>
      </w:r>
      <w:bookmarkEnd w:id="55"/>
      <w:bookmarkEnd w:id="56"/>
      <w:bookmarkEnd w:id="57"/>
      <w:bookmarkEnd w:id="58"/>
    </w:p>
    <w:p w14:paraId="2DBBA0E2">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9.1平台使用费：本项目采用全流程电子招投标，每标段每家供应商需（在线下载采购文件后，上传响应文件前）在线向电子交易平台缴纳电子投标服务费。</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68"/>
        <w:gridCol w:w="4454"/>
      </w:tblGrid>
      <w:tr w14:paraId="627CD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1788677">
            <w:pPr>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招标类型</w:t>
            </w:r>
          </w:p>
        </w:tc>
        <w:tc>
          <w:tcPr>
            <w:tcW w:w="4895" w:type="dxa"/>
            <w:noWrap w:val="0"/>
            <w:vAlign w:val="center"/>
          </w:tcPr>
          <w:p w14:paraId="7B1612D8">
            <w:pPr>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平台使用费</w:t>
            </w:r>
          </w:p>
        </w:tc>
      </w:tr>
      <w:tr w14:paraId="7222B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7AA8C2D">
            <w:pPr>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招标项目</w:t>
            </w:r>
          </w:p>
        </w:tc>
        <w:tc>
          <w:tcPr>
            <w:tcW w:w="4895" w:type="dxa"/>
            <w:noWrap w:val="0"/>
            <w:vAlign w:val="center"/>
          </w:tcPr>
          <w:p w14:paraId="2BCDC759">
            <w:pPr>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400元/标段/次</w:t>
            </w:r>
          </w:p>
        </w:tc>
      </w:tr>
      <w:tr w14:paraId="5824A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33F9EA2F">
            <w:pPr>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非招标项目</w:t>
            </w:r>
          </w:p>
        </w:tc>
        <w:tc>
          <w:tcPr>
            <w:tcW w:w="4895" w:type="dxa"/>
            <w:noWrap w:val="0"/>
            <w:vAlign w:val="center"/>
          </w:tcPr>
          <w:p w14:paraId="6B5D85FE">
            <w:pPr>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300元/标段/次</w:t>
            </w:r>
          </w:p>
        </w:tc>
      </w:tr>
    </w:tbl>
    <w:p w14:paraId="01C0AAE2">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9.2场所服务费收取标准</w:t>
      </w:r>
    </w:p>
    <w:p w14:paraId="132EDA74">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成交供应商需在成交结果公告发布后5日内向内蒙古产权交易中心有限责任公司缴纳场所服务费的，收取标准如下：</w:t>
      </w:r>
    </w:p>
    <w:p w14:paraId="6B118442">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9.2.1以成交金额为基数，按1‰标准向成交供应商收取场所服务费，不足500元的按500元统一收取。</w:t>
      </w:r>
    </w:p>
    <w:p w14:paraId="54642220">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9.2.2入围、框架类、单价类等无固定成交总价的项目，按1000元/家的标准向成交供应商收取场所服务费。</w:t>
      </w:r>
    </w:p>
    <w:p w14:paraId="6C1994ED">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9.2.3场所服务费缴纳方式为公对公转账，汇款信息如下：</w:t>
      </w:r>
    </w:p>
    <w:p w14:paraId="4966E326">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收款单位名称：内蒙古产权交易中心有限责任公司</w:t>
      </w:r>
    </w:p>
    <w:p w14:paraId="6D4C8E53">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开户行：华夏银行呼和浩特分行营业部</w:t>
      </w:r>
    </w:p>
    <w:p w14:paraId="36D3486D">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账  号：5830200001819100031131 </w:t>
      </w:r>
    </w:p>
    <w:p w14:paraId="31C986F1">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行  号：304191001951</w:t>
      </w:r>
    </w:p>
    <w:p w14:paraId="3951BD12">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9.2.4交易场所：内蒙古产权交易中心有限责任公司</w:t>
      </w:r>
    </w:p>
    <w:p w14:paraId="23B1F559">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地址:内蒙古呼和浩特市赛罕区阿吉泰路3号</w:t>
      </w:r>
    </w:p>
    <w:p w14:paraId="775925B2">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项目负责人:武斌</w:t>
      </w:r>
    </w:p>
    <w:p w14:paraId="4D856A70">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开票咨询:0471-3477645</w:t>
      </w:r>
    </w:p>
    <w:p w14:paraId="511639C3">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9.3中标服务费：中标服务费由中标人支付，中标人须向采购代理代理机构按如下标准和规定交纳中标服务费。</w:t>
      </w:r>
    </w:p>
    <w:p w14:paraId="4EF45E21">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（1）中标服务费金额：以招标最高限价作为计算基数×代理服务费费率 ×90%，代理服务费计算标准详见代理服务费费率计算标准。30万元以下项目不打折。</w:t>
      </w:r>
    </w:p>
    <w:p w14:paraId="3A9346BF">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（2）中标服务费支付方式：采购完成，发出中标通知书前一次性支付。</w:t>
      </w:r>
    </w:p>
    <w:p w14:paraId="04465D51">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（3）中标服务费交纳形式：电汇、银行转账、现金均可。</w:t>
      </w:r>
    </w:p>
    <w:p w14:paraId="19D1F0FA">
      <w:pPr>
        <w:spacing w:line="360" w:lineRule="auto"/>
        <w:ind w:firstLine="482" w:firstLineChars="200"/>
        <w:rPr>
          <w:rFonts w:hint="eastAsia" w:ascii="宋体" w:hAnsi="宋体" w:eastAsia="宋体" w:cs="宋体"/>
          <w:b/>
          <w:sz w:val="24"/>
          <w:szCs w:val="24"/>
          <w:highlight w:val="none"/>
        </w:rPr>
      </w:pPr>
      <w:bookmarkStart w:id="59" w:name="_Toc54632640"/>
      <w:bookmarkStart w:id="60" w:name="_Toc32527"/>
      <w:bookmarkStart w:id="61" w:name="_Toc8695"/>
      <w:bookmarkStart w:id="62" w:name="_Toc58406249"/>
      <w:r>
        <w:rPr>
          <w:rFonts w:hint="eastAsia" w:ascii="宋体" w:hAnsi="宋体" w:eastAsia="宋体" w:cs="宋体"/>
          <w:b/>
          <w:sz w:val="24"/>
          <w:szCs w:val="24"/>
          <w:highlight w:val="none"/>
        </w:rPr>
        <w:t>10.发布公告的媒介</w:t>
      </w:r>
      <w:bookmarkEnd w:id="53"/>
      <w:bookmarkEnd w:id="54"/>
      <w:bookmarkEnd w:id="59"/>
      <w:bookmarkEnd w:id="60"/>
      <w:bookmarkEnd w:id="61"/>
      <w:bookmarkEnd w:id="62"/>
    </w:p>
    <w:p w14:paraId="005481A4">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次公告在《内蒙古电力集团电子采购系统》（http://guocai-impc.cppchina.cn/）、《内蒙古自治区企业阳光采购服务平台》（http://nmgygcg.ejy365.com/sitenmyg/index）、《内蒙古招标投标网》（www.nmgztb.com.cn）、《中国招标投标公共服务平台》（http://www.cebpubservice.com/）同时发布，其它媒介转发无效。</w:t>
      </w:r>
    </w:p>
    <w:p w14:paraId="38B55187">
      <w:pPr>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11.联系方式</w:t>
      </w:r>
    </w:p>
    <w:p w14:paraId="6A8C2693">
      <w:pPr>
        <w:spacing w:line="360" w:lineRule="auto"/>
        <w:ind w:firstLine="480" w:firstLineChars="200"/>
        <w:rPr>
          <w:rFonts w:hint="eastAsia" w:ascii="宋体" w:hAnsi="宋体" w:eastAsia="宋体" w:cs="宋体"/>
          <w:sz w:val="24"/>
          <w:szCs w:val="24"/>
          <w:highlight w:val="none"/>
        </w:rPr>
      </w:pPr>
      <w:bookmarkStart w:id="63" w:name="_Toc23108"/>
      <w:bookmarkStart w:id="64" w:name="_Toc27725"/>
      <w:bookmarkStart w:id="65" w:name="_Toc17032"/>
      <w:bookmarkStart w:id="66" w:name="_Toc5867"/>
      <w:r>
        <w:rPr>
          <w:rFonts w:hint="eastAsia" w:ascii="宋体" w:hAnsi="宋体" w:eastAsia="宋体" w:cs="宋体"/>
          <w:sz w:val="24"/>
          <w:szCs w:val="24"/>
          <w:highlight w:val="none"/>
        </w:rPr>
        <w:t>采 购 人：内蒙古电力(集团)有限责任公司呼和浩特供电分公司</w:t>
      </w:r>
      <w:bookmarkEnd w:id="63"/>
      <w:bookmarkEnd w:id="64"/>
      <w:bookmarkEnd w:id="65"/>
      <w:bookmarkEnd w:id="66"/>
    </w:p>
    <w:p w14:paraId="5EFCD6F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联系地址：呼和浩特市新城区通道北路74号</w:t>
      </w:r>
    </w:p>
    <w:p w14:paraId="30F395CE">
      <w:pPr>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联 系 人：梁工、朱工</w:t>
      </w:r>
    </w:p>
    <w:p w14:paraId="7AA8E63B">
      <w:pPr>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联系电话：</w:t>
      </w:r>
      <w:r>
        <w:rPr>
          <w:rFonts w:ascii="宋体" w:hAnsi="宋体" w:eastAsia="宋体" w:cs="宋体"/>
          <w:sz w:val="24"/>
          <w:szCs w:val="24"/>
          <w:highlight w:val="none"/>
        </w:rPr>
        <w:t>0471-6947824</w:t>
      </w:r>
    </w:p>
    <w:p w14:paraId="1253F74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监督举报邮箱为hhhtwzgyc@163.com</w:t>
      </w:r>
    </w:p>
    <w:p w14:paraId="04B1F8F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监督人电话：0471-6943385</w:t>
      </w:r>
    </w:p>
    <w:p w14:paraId="1732726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采购代理机构：并辉建设工程招标代理有限公司</w:t>
      </w:r>
    </w:p>
    <w:p w14:paraId="5EE8A24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本项目联系地址：内蒙古自治区呼和浩特市新城区东方银座2号写字楼1012室</w:t>
      </w:r>
    </w:p>
    <w:p w14:paraId="7CFFCC0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 系 人：马学敏、赵光亭、林晓龙、贾博、毕立峰、宋涛、乔飞、徐阳</w:t>
      </w:r>
    </w:p>
    <w:p w14:paraId="2CF9275C">
      <w:pPr>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电    话：0471-5619823、19524719037、18047182371、15184783353</w:t>
      </w:r>
    </w:p>
    <w:p w14:paraId="27DFBA9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电子邮件：</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"mailto:xialiquan@cntcitc.com.cn"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bhzbnmg1@163.com</w:t>
      </w:r>
      <w:r>
        <w:rPr>
          <w:rFonts w:hint="eastAsia" w:ascii="宋体" w:hAnsi="宋体" w:eastAsia="宋体" w:cs="宋体"/>
          <w:sz w:val="24"/>
          <w:szCs w:val="24"/>
          <w:highlight w:val="none"/>
        </w:rPr>
        <w:fldChar w:fldCharType="end"/>
      </w:r>
    </w:p>
    <w:p w14:paraId="64CDBFF2">
      <w:pPr>
        <w:jc w:val="right"/>
        <w:rPr>
          <w:rFonts w:hint="eastAsia" w:ascii="宋体" w:hAnsi="宋体" w:eastAsia="宋体" w:cs="宋体"/>
          <w:b w:val="0"/>
          <w:bCs w:val="0"/>
          <w:sz w:val="24"/>
          <w:szCs w:val="24"/>
          <w:highlight w:val="none"/>
        </w:rPr>
      </w:pPr>
    </w:p>
    <w:p w14:paraId="1B049561">
      <w:pPr>
        <w:jc w:val="right"/>
        <w:rPr>
          <w:rFonts w:hint="eastAsia" w:ascii="宋体" w:hAnsi="宋体" w:eastAsia="宋体" w:cs="宋体"/>
          <w:b w:val="0"/>
          <w:bCs w:val="0"/>
          <w:sz w:val="24"/>
          <w:szCs w:val="24"/>
          <w:highlight w:val="none"/>
        </w:rPr>
      </w:pPr>
    </w:p>
    <w:p w14:paraId="4A745ACB">
      <w:pPr>
        <w:jc w:val="right"/>
      </w:pPr>
      <w:bookmarkStart w:id="67" w:name="_GoBack"/>
      <w:bookmarkEnd w:id="67"/>
      <w:r>
        <w:rPr>
          <w:rFonts w:hint="eastAsia" w:ascii="宋体" w:hAnsi="宋体" w:eastAsia="宋体" w:cs="宋体"/>
          <w:b w:val="0"/>
          <w:bCs w:val="0"/>
          <w:sz w:val="24"/>
          <w:szCs w:val="24"/>
          <w:highlight w:val="none"/>
        </w:rPr>
        <w:t>2025年04月</w:t>
      </w:r>
      <w:r>
        <w:rPr>
          <w:rFonts w:hint="eastAsia" w:ascii="宋体" w:hAnsi="宋体" w:cs="宋体"/>
          <w:b w:val="0"/>
          <w:bCs w:val="0"/>
          <w:sz w:val="24"/>
          <w:szCs w:val="24"/>
          <w:highlight w:val="none"/>
        </w:rPr>
        <w:t>14</w:t>
      </w:r>
      <w:r>
        <w:rPr>
          <w:rFonts w:hint="eastAsia" w:ascii="宋体" w:hAnsi="宋体" w:eastAsia="宋体" w:cs="宋体"/>
          <w:b w:val="0"/>
          <w:bCs w:val="0"/>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A15243"/>
    <w:rsid w:val="3EA15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uiPriority w:val="0"/>
    <w:pPr>
      <w:widowControl/>
    </w:pPr>
    <w:rPr>
      <w:rFonts w:ascii="Calibri" w:hAnsi="Calibri" w:cs="宋体"/>
      <w:kern w:val="0"/>
      <w:szCs w:val="21"/>
    </w:rPr>
  </w:style>
  <w:style w:type="paragraph" w:styleId="5">
    <w:name w:val="toc 2"/>
    <w:basedOn w:val="1"/>
    <w:next w:val="1"/>
    <w:uiPriority w:val="39"/>
    <w:pPr>
      <w:tabs>
        <w:tab w:val="right" w:leader="dot" w:pos="8834"/>
      </w:tabs>
      <w:ind w:left="420" w:leftChars="200"/>
    </w:pPr>
    <w:rPr>
      <w:rFonts w:ascii="黑体" w:eastAsia="黑体"/>
      <w:sz w:val="28"/>
      <w:szCs w:val="28"/>
    </w:r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uiPriority w:val="0"/>
    <w:pPr>
      <w:jc w:val="left"/>
    </w:pPr>
  </w:style>
  <w:style w:type="paragraph" w:styleId="8">
    <w:name w:val="Title"/>
    <w:basedOn w:val="1"/>
    <w:next w:val="1"/>
    <w:qFormat/>
    <w:uiPriority w:val="0"/>
    <w:pPr>
      <w:spacing w:before="240" w:after="60"/>
      <w:ind w:firstLine="0" w:firstLineChars="0"/>
      <w:jc w:val="center"/>
      <w:outlineLvl w:val="0"/>
    </w:pPr>
    <w:rPr>
      <w:rFonts w:ascii="Cambria" w:hAnsi="Cambria" w:eastAsia="方正小标宋简体" w:cs="Times New Roman"/>
      <w:b/>
      <w:bCs/>
      <w:sz w:val="44"/>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2025-04-11T09:05:00Z</dcterms:created>
  <dc:creator> 当初.</dc:creator>
  <cp:lastModifiedBy> 当初.</cp:lastModifiedBy>
  <dcterms:modified xsi:type="dcterms:W3CDTF">2025-04-11T09:06:10Z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2466585536A9448BAC52B74C7D1C1813_11</vt:lpwstr>
  </property>
  <property fmtid="{D5CDD505-2E9C-101B-9397-08002B2CF9AE}" pid="4" name="KSOTemplateDocerSaveRecord">
    <vt:lpwstr>eyJoZGlkIjoiNGRmZWNkNmQzZGIxOWUzY2MyNTY3ZjdiZDkxYTkzZWEiLCJ1c2VySWQiOiI0NDE5MzkxNTgifQ==</vt:lpwstr>
  </property>
</Properties>
</file>