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06749">
      <w:pPr>
        <w:pStyle w:val="2"/>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内蒙古电力集团蒙电信息通信产业有限责任公司2025年资产租赁服务单源直接采购公告</w:t>
      </w:r>
    </w:p>
    <w:p w14:paraId="5CBCCB39">
      <w:pPr>
        <w:pStyle w:val="2"/>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MDXCDY-2024-12</w:t>
      </w:r>
      <w:r>
        <w:rPr>
          <w:rFonts w:hint="eastAsia" w:asciiTheme="minorEastAsia" w:hAnsiTheme="minorEastAsia" w:eastAsiaTheme="minorEastAsia"/>
          <w:b/>
          <w:sz w:val="24"/>
          <w:szCs w:val="30"/>
        </w:rPr>
        <w:t>）</w:t>
      </w:r>
    </w:p>
    <w:p w14:paraId="7B689599">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内蒙古电力集团蒙电信息通信产业有限责任公司2025年资产租赁服务单源直接采购</w:t>
      </w:r>
      <w:r>
        <w:rPr>
          <w:rFonts w:hint="eastAsia" w:asciiTheme="minorEastAsia" w:hAnsiTheme="minorEastAsia" w:eastAsiaTheme="minorEastAsia"/>
          <w:sz w:val="21"/>
          <w:szCs w:val="21"/>
        </w:rPr>
        <w:t>已具备采购条件，现公开邀请供应商参加单源直接采购活动。</w:t>
      </w:r>
    </w:p>
    <w:p w14:paraId="61235DFE">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14:paraId="1FC6507C">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内蒙古电力集团蒙电信息通信产业有限责任公司2025年资产租赁服务单源直接采购</w:t>
      </w:r>
    </w:p>
    <w:p w14:paraId="61C23E2C">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14:paraId="598FA0C6">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14:paraId="1D84E3EB">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14:paraId="27E85105">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14:paraId="5193B234">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14:paraId="7DDFAC39">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14:paraId="72AE9E39">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14:paraId="3E4D00A8">
      <w:pPr>
        <w:spacing w:after="0" w:line="360" w:lineRule="auto"/>
        <w:ind w:firstLine="420" w:firstLineChars="200"/>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14:paraId="366BE110">
      <w:pPr>
        <w:spacing w:after="0" w:line="360" w:lineRule="auto"/>
        <w:ind w:firstLine="420" w:firstLineChars="200"/>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4.供应商未被最高人民法院在“信用中国”网站（www.creditchina.gov.cn）或各级信用信息共享平台中列入“失信被执行人名单”。</w:t>
      </w:r>
    </w:p>
    <w:p w14:paraId="2768C6E0">
      <w:pPr>
        <w:keepNext w:val="0"/>
        <w:keepLines w:val="0"/>
        <w:pageBreakBefore w:val="0"/>
        <w:widowControl/>
        <w:kinsoku/>
        <w:wordWrap/>
        <w:overflowPunct/>
        <w:topLinePunct w:val="0"/>
        <w:autoSpaceDE/>
        <w:autoSpaceDN/>
        <w:bidi w:val="0"/>
        <w:spacing w:after="0" w:line="360" w:lineRule="auto"/>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14:paraId="14408AB8">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14:paraId="2D71466E">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14:paraId="13F60FCC">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09</w:t>
      </w:r>
      <w:r>
        <w:rPr>
          <w:rFonts w:hint="eastAsia" w:asciiTheme="minorEastAsia" w:hAnsiTheme="minorEastAsia" w:eastAsiaTheme="minorEastAsia" w:cstheme="minorEastAsia"/>
          <w:color w:val="auto"/>
          <w:kern w:val="0"/>
          <w:sz w:val="21"/>
          <w:szCs w:val="21"/>
          <w:highlight w:val="none"/>
          <w:lang w:eastAsia="zh-CN"/>
        </w:rPr>
        <w:t>日至202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14:paraId="65A9C80F">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14:paraId="11579B91">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14:paraId="2BC3BBC1">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14:paraId="7F236833">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5931454E">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CN"/>
        </w:rPr>
        <w:t>报名</w:t>
      </w: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14:paraId="4EF8CAA6">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14:paraId="677BCBBB">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14:paraId="4B78EDDB">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14:paraId="3EC4BAEE">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14:paraId="01754E49">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14:paraId="31948CEE">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14:paraId="5CB09709">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14:paraId="43E1277C">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14:paraId="2EE3A00A">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14:paraId="1C1343F6">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14:paraId="670B3908">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14:paraId="357E9228">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14:paraId="1839089C">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14:paraId="0A126919">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14:paraId="3D4E8247">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14:paraId="6BF71963">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14:paraId="396E453B">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09</w:t>
      </w:r>
      <w:r>
        <w:rPr>
          <w:rFonts w:hint="eastAsia" w:cs="宋体" w:asciiTheme="minorEastAsia" w:hAnsiTheme="minorEastAsia" w:eastAsiaTheme="minorEastAsia"/>
          <w:sz w:val="21"/>
          <w:szCs w:val="21"/>
          <w:highlight w:val="none"/>
          <w:lang w:eastAsia="zh-CN"/>
        </w:rPr>
        <w:t>日～202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13</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15:0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4F542E9A">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13</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15:0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06167EAE">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13</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15:0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46EAC6D0">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4年12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13</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16:0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3EDF595E">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14:paraId="1FE8355E">
      <w:pPr>
        <w:spacing w:before="240" w:after="0" w:line="360" w:lineRule="auto"/>
        <w:ind w:firstLine="422" w:firstLineChars="200"/>
        <w:contextualSpacing/>
        <w:jc w:val="both"/>
        <w:rPr>
          <w:rFonts w:hint="eastAsia"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14:paraId="019A99DD">
      <w:pPr>
        <w:spacing w:before="240" w:after="0" w:line="360" w:lineRule="auto"/>
        <w:ind w:firstLine="420" w:firstLineChars="200"/>
        <w:contextualSpacing/>
        <w:jc w:val="both"/>
        <w:rPr>
          <w:rFonts w:hint="eastAsia" w:asciiTheme="minorEastAsia" w:hAnsiTheme="minorEastAsia" w:eastAsiaTheme="minorEastAsia"/>
          <w:b w:val="0"/>
          <w:bCs/>
          <w:sz w:val="21"/>
          <w:szCs w:val="21"/>
        </w:rPr>
      </w:pPr>
      <w:r>
        <w:rPr>
          <w:rFonts w:hint="eastAsia" w:asciiTheme="minorEastAsia" w:hAnsiTheme="minorEastAsia" w:eastAsiaTheme="minorEastAsia"/>
          <w:b w:val="0"/>
          <w:bCs/>
          <w:sz w:val="21"/>
          <w:szCs w:val="21"/>
          <w:lang w:val="en-US" w:eastAsia="zh-CN"/>
        </w:rPr>
        <w:t>开标</w:t>
      </w:r>
      <w:r>
        <w:rPr>
          <w:rFonts w:hint="eastAsia" w:asciiTheme="minorEastAsia" w:hAnsiTheme="minorEastAsia" w:eastAsiaTheme="minorEastAsia"/>
          <w:b w:val="0"/>
          <w:bCs/>
          <w:sz w:val="21"/>
          <w:szCs w:val="21"/>
        </w:rPr>
        <w:t>地点：内蒙古产权交易中心有限责任公司开标室。</w:t>
      </w:r>
    </w:p>
    <w:p w14:paraId="5EF169AB">
      <w:pPr>
        <w:spacing w:before="240" w:after="0" w:line="360" w:lineRule="auto"/>
        <w:ind w:firstLine="420" w:firstLineChars="200"/>
        <w:contextualSpacing/>
        <w:jc w:val="both"/>
      </w:pPr>
      <w:r>
        <w:rPr>
          <w:rFonts w:hint="eastAsia" w:asciiTheme="minorEastAsia" w:hAnsiTheme="minorEastAsia" w:eastAsiaTheme="minorEastAsia"/>
          <w:b w:val="0"/>
          <w:bCs/>
          <w:sz w:val="21"/>
          <w:szCs w:val="21"/>
          <w:lang w:val="en-US" w:eastAsia="zh-CN"/>
        </w:rPr>
        <w:t>开标</w:t>
      </w:r>
      <w:r>
        <w:rPr>
          <w:rFonts w:hint="eastAsia" w:asciiTheme="minorEastAsia" w:hAnsiTheme="minorEastAsia" w:eastAsiaTheme="minorEastAsia"/>
          <w:b w:val="0"/>
          <w:bCs/>
          <w:sz w:val="21"/>
          <w:szCs w:val="21"/>
        </w:rPr>
        <w:t>地址：呼和浩特市赛罕区</w:t>
      </w:r>
      <w:r>
        <w:rPr>
          <w:rFonts w:hint="eastAsia" w:asciiTheme="minorEastAsia" w:hAnsiTheme="minorEastAsia" w:eastAsiaTheme="minorEastAsia"/>
          <w:b w:val="0"/>
          <w:bCs/>
          <w:sz w:val="21"/>
          <w:szCs w:val="21"/>
          <w:lang w:eastAsia="zh-CN"/>
        </w:rPr>
        <w:t>阿吉泰路</w:t>
      </w:r>
      <w:r>
        <w:rPr>
          <w:rFonts w:hint="eastAsia" w:asciiTheme="minorEastAsia" w:hAnsiTheme="minorEastAsia" w:eastAsiaTheme="minorEastAsia"/>
          <w:b w:val="0"/>
          <w:bCs/>
          <w:sz w:val="21"/>
          <w:szCs w:val="21"/>
        </w:rPr>
        <w:t>3号。</w:t>
      </w:r>
    </w:p>
    <w:p w14:paraId="0BA3254D">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14:paraId="3569853F">
      <w:pPr>
        <w:spacing w:after="0" w:line="360" w:lineRule="auto"/>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14:paraId="2F539987">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14:paraId="1DE82962">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cs="宋体" w:asciiTheme="minorEastAsia" w:hAnsiTheme="minorEastAsia" w:eastAsiaTheme="minorEastAsia"/>
          <w:sz w:val="21"/>
          <w:szCs w:val="21"/>
        </w:rPr>
      </w:pPr>
      <w:bookmarkStart w:id="0" w:name="_Toc527978790"/>
      <w:bookmarkStart w:id="1" w:name="_Toc4148807"/>
      <w:bookmarkStart w:id="2" w:name="_Toc4102805"/>
      <w:bookmarkStart w:id="3" w:name="_Toc527970780"/>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14:paraId="4177B645">
      <w:pPr>
        <w:spacing w:before="240" w:after="0" w:line="360" w:lineRule="auto"/>
        <w:ind w:firstLine="420" w:firstLineChars="200"/>
        <w:contextualSpacing/>
        <w:jc w:val="both"/>
        <w:rPr>
          <w:rFonts w:hint="eastAsia" w:cs="宋体" w:asciiTheme="minorEastAsia" w:hAnsiTheme="minorEastAsia" w:eastAsiaTheme="minorEastAsia"/>
          <w:sz w:val="21"/>
          <w:szCs w:val="21"/>
          <w:lang w:eastAsia="zh-CN"/>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）场所服务费</w:t>
      </w:r>
      <w:r>
        <w:rPr>
          <w:rFonts w:hint="eastAsia" w:cs="宋体" w:asciiTheme="minorEastAsia" w:hAnsiTheme="minorEastAsia" w:eastAsiaTheme="minorEastAsia"/>
          <w:sz w:val="21"/>
          <w:szCs w:val="21"/>
          <w:lang w:eastAsia="zh-CN"/>
        </w:rPr>
        <w:t>：</w:t>
      </w:r>
    </w:p>
    <w:p w14:paraId="0AC7F6A5">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1.场所服务费收取标准：成交供应商需在成交结果公告发布后5日内向内蒙古产权交易中心有限责任公司缴纳场所服务费的，收取标准如下：①以成交金额为基数，按1‰标准向成交供应商收取场所服务费，不足500元的按500元统一收取。②入围、框架类、单价类等无固定成交总价的项目，按1000元/家的标准向成交供应商收取场所服务费。</w:t>
      </w:r>
    </w:p>
    <w:p w14:paraId="12842230">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2.场所服务费缴纳方式为公对公转账，汇款信息如下：</w:t>
      </w:r>
    </w:p>
    <w:p w14:paraId="0FD83CB5">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收款单位名称：内蒙古产权交易中心有限责任公司</w:t>
      </w:r>
    </w:p>
    <w:p w14:paraId="64AA0434">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开户行：华夏银行呼和浩特分行营业部</w:t>
      </w:r>
    </w:p>
    <w:p w14:paraId="41892EFC">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 xml:space="preserve">账  号：5830200001819100031131 </w:t>
      </w:r>
    </w:p>
    <w:p w14:paraId="7F42AEC5">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行  号：304191001951</w:t>
      </w:r>
    </w:p>
    <w:p w14:paraId="1ACF92C0">
      <w:pPr>
        <w:spacing w:before="240" w:after="0" w:line="360" w:lineRule="auto"/>
        <w:ind w:firstLine="420" w:firstLineChars="200"/>
        <w:contextualSpacing/>
        <w:jc w:val="both"/>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3.交易场所：内蒙古产权交易中心有限责任公司</w:t>
      </w:r>
    </w:p>
    <w:p w14:paraId="3D9B81C4">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地    址：内蒙古呼和浩特市赛罕区阿吉泰路3号</w:t>
      </w:r>
    </w:p>
    <w:p w14:paraId="39EC7434">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联系人：塔拉</w:t>
      </w:r>
    </w:p>
    <w:p w14:paraId="6111283F">
      <w:pPr>
        <w:spacing w:before="240" w:after="0" w:line="360" w:lineRule="auto"/>
        <w:ind w:firstLine="420" w:firstLineChars="200"/>
        <w:contextualSpacing/>
        <w:jc w:val="both"/>
        <w:rPr>
          <w:rFonts w:hint="default" w:cs="宋体" w:asciiTheme="minorEastAsia" w:hAnsiTheme="minorEastAsia" w:eastAsiaTheme="minorEastAsia"/>
          <w:color w:val="auto"/>
          <w:sz w:val="21"/>
          <w:szCs w:val="21"/>
          <w:lang w:val="en-US" w:eastAsia="zh-CN"/>
        </w:rPr>
      </w:pPr>
      <w:r>
        <w:rPr>
          <w:rFonts w:hint="eastAsia" w:cs="宋体" w:asciiTheme="minorEastAsia" w:hAnsiTheme="minorEastAsia" w:eastAsiaTheme="minorEastAsia"/>
          <w:color w:val="auto"/>
          <w:sz w:val="21"/>
          <w:szCs w:val="21"/>
          <w:lang w:val="en-US" w:eastAsia="zh-CN"/>
        </w:rPr>
        <w:t>联系电话：0471-3477645</w:t>
      </w:r>
    </w:p>
    <w:p w14:paraId="1B4C5BA4">
      <w:pPr>
        <w:spacing w:before="240" w:after="0" w:line="360" w:lineRule="auto"/>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14:paraId="1C30CA27">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14:paraId="6A240858">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p>
    <w:p w14:paraId="15F7DBAA">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14:paraId="7DCEFC10">
      <w:pPr>
        <w:tabs>
          <w:tab w:val="left" w:pos="2625"/>
        </w:tabs>
        <w:adjustRightInd/>
        <w:spacing w:line="360" w:lineRule="auto"/>
        <w:ind w:firstLine="420" w:firstLineChars="200"/>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14:paraId="12CDC5EA">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14:paraId="71207A8F">
      <w:pPr>
        <w:tabs>
          <w:tab w:val="left" w:pos="2625"/>
        </w:tabs>
        <w:adjustRightInd/>
        <w:spacing w:line="360" w:lineRule="auto"/>
        <w:ind w:firstLine="5880" w:firstLineChars="2800"/>
        <w:contextualSpacing/>
        <w:rPr>
          <w:rFonts w:hint="eastAsia" w:cs="Arial" w:asciiTheme="minorEastAsia" w:hAnsiTheme="minorEastAsia" w:eastAsiaTheme="minorEastAsia"/>
          <w:sz w:val="21"/>
          <w:szCs w:val="21"/>
          <w:highlight w:val="none"/>
          <w:lang w:eastAsia="zh-CN"/>
        </w:rPr>
      </w:pPr>
    </w:p>
    <w:p w14:paraId="22D131AD">
      <w:pPr>
        <w:tabs>
          <w:tab w:val="left" w:pos="2625"/>
        </w:tabs>
        <w:adjustRightInd/>
        <w:spacing w:line="360" w:lineRule="auto"/>
        <w:ind w:firstLine="5880" w:firstLineChars="2800"/>
        <w:contextualSpacing/>
        <w:rPr>
          <w:highlight w:val="none"/>
        </w:rPr>
      </w:pPr>
      <w:r>
        <w:rPr>
          <w:rFonts w:hint="eastAsia" w:cs="Arial" w:asciiTheme="minorEastAsia" w:hAnsiTheme="minorEastAsia" w:eastAsiaTheme="minorEastAsia"/>
          <w:sz w:val="21"/>
          <w:szCs w:val="21"/>
          <w:highlight w:val="none"/>
          <w:lang w:eastAsia="zh-CN"/>
        </w:rPr>
        <w:t>202</w:t>
      </w:r>
      <w:r>
        <w:rPr>
          <w:rFonts w:hint="eastAsia" w:cs="Arial" w:asciiTheme="minorEastAsia" w:hAnsiTheme="minorEastAsia" w:eastAsiaTheme="minorEastAsia"/>
          <w:sz w:val="21"/>
          <w:szCs w:val="21"/>
          <w:highlight w:val="none"/>
          <w:lang w:val="en-US" w:eastAsia="zh-CN"/>
        </w:rPr>
        <w:t>4</w:t>
      </w:r>
      <w:r>
        <w:rPr>
          <w:rFonts w:hint="eastAsia" w:cs="Arial" w:asciiTheme="minorEastAsia" w:hAnsiTheme="minorEastAsia" w:eastAsiaTheme="minorEastAsia"/>
          <w:sz w:val="21"/>
          <w:szCs w:val="21"/>
          <w:highlight w:val="none"/>
          <w:lang w:eastAsia="zh-CN"/>
        </w:rPr>
        <w:t>年</w:t>
      </w:r>
      <w:r>
        <w:rPr>
          <w:rFonts w:hint="eastAsia" w:cs="Arial" w:asciiTheme="minorEastAsia" w:hAnsiTheme="minorEastAsia" w:eastAsiaTheme="minorEastAsia"/>
          <w:sz w:val="21"/>
          <w:szCs w:val="21"/>
          <w:highlight w:val="none"/>
          <w:lang w:val="en-US" w:eastAsia="zh-CN"/>
        </w:rPr>
        <w:t>12</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09</w:t>
      </w:r>
      <w:r>
        <w:rPr>
          <w:rFonts w:hint="eastAsia" w:cs="Arial" w:asciiTheme="minorEastAsia" w:hAnsiTheme="minorEastAsia" w:eastAsiaTheme="minorEastAsia"/>
          <w:sz w:val="21"/>
          <w:szCs w:val="21"/>
          <w:highlight w:val="none"/>
          <w:lang w:eastAsia="zh-CN"/>
        </w:rPr>
        <w:t>日</w:t>
      </w:r>
    </w:p>
    <w:p w14:paraId="7487CC68">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E562D4"/>
    <w:rsid w:val="3CE56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pPr>
  </w:style>
  <w:style w:type="paragraph" w:styleId="3">
    <w:name w:val="Body Text Indent"/>
    <w:basedOn w:val="1"/>
    <w:next w:val="4"/>
    <w:unhideWhenUsed/>
    <w:qFormat/>
    <w:uiPriority w:val="0"/>
    <w:pPr>
      <w:ind w:firstLine="360" w:firstLineChars="200"/>
    </w:pPr>
    <w:rPr>
      <w:sz w:val="18"/>
    </w:rPr>
  </w:style>
  <w:style w:type="paragraph" w:styleId="4">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2024-12-09T02:56:00Z</dcterms:created>
  <dc:creator>赵灵燕</dc:creator>
  <cp:lastModifiedBy>赵灵燕</cp:lastModifiedBy>
  <dcterms:modified xsi:type="dcterms:W3CDTF">2024-12-09T02:57:12Z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7A770B750C4846CDBA931F17F0A268CD_11</vt:lpwstr>
  </property>
</Properties>
</file>