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CF36EE">
      <w:pPr>
        <w:numPr>
          <w:ilvl w:val="0"/>
          <w:numId w:val="0"/>
        </w:numPr>
        <w:adjustRightInd w:val="0"/>
        <w:spacing w:before="156" w:beforeLines="50" w:after="156" w:afterLines="50"/>
        <w:contextualSpacing/>
        <w:jc w:val="center"/>
        <w:outlineLvl w:val="1"/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highlight w:val="none"/>
          <w:lang w:val="en-US" w:eastAsia="zh-CN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highlight w:val="none"/>
          <w:lang w:val="en-US" w:eastAsia="zh-CN"/>
        </w:rPr>
        <w:t>分配原则</w:t>
      </w:r>
    </w:p>
    <w:p w14:paraId="4E560A88">
      <w:pPr>
        <w:pStyle w:val="2"/>
        <w:rPr>
          <w:rFonts w:hint="eastAsia"/>
          <w:highlight w:val="none"/>
          <w:lang w:val="en-US" w:eastAsia="zh-CN"/>
        </w:rPr>
      </w:pPr>
    </w:p>
    <w:p w14:paraId="6ED621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ind w:firstLine="643" w:firstLineChars="200"/>
        <w:contextualSpacing/>
        <w:jc w:val="both"/>
        <w:textAlignment w:val="auto"/>
        <w:outlineLvl w:val="1"/>
        <w:rPr>
          <w:rFonts w:hint="eastAsia" w:ascii="仿宋_GB2312" w:hAnsi="仿宋_GB2312" w:eastAsia="仿宋_GB2312" w:cs="仿宋_GB2312"/>
          <w:b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highlight w:val="none"/>
          <w:lang w:val="en-US" w:eastAsia="zh-CN"/>
        </w:rPr>
        <w:t>1、业务分配总体原则</w:t>
      </w:r>
    </w:p>
    <w:p w14:paraId="2F6D90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ind w:firstLine="640" w:firstLineChars="200"/>
        <w:contextualSpacing/>
        <w:jc w:val="both"/>
        <w:textAlignment w:val="auto"/>
        <w:outlineLvl w:val="1"/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  <w:t>按照排名情况划分为两档，前6名为第一档，后6名为第二档，由集团公司和建设单位进行两次分配，最终造价咨询费依据合同约定的结算原则以审计审定的费用为准。</w:t>
      </w:r>
    </w:p>
    <w:p w14:paraId="553813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ind w:firstLine="643" w:firstLineChars="200"/>
        <w:contextualSpacing/>
        <w:jc w:val="both"/>
        <w:textAlignment w:val="auto"/>
        <w:outlineLvl w:val="1"/>
        <w:rPr>
          <w:rFonts w:hint="eastAsia" w:ascii="仿宋_GB2312" w:hAnsi="仿宋_GB2312" w:eastAsia="仿宋_GB2312" w:cs="仿宋_GB2312"/>
          <w:b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highlight w:val="none"/>
          <w:lang w:val="en-US" w:eastAsia="zh-CN"/>
        </w:rPr>
        <w:t>2、中介机构划档原则</w:t>
      </w:r>
    </w:p>
    <w:p w14:paraId="03B9FA4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ind w:firstLine="640" w:firstLineChars="200"/>
        <w:contextualSpacing/>
        <w:jc w:val="both"/>
        <w:textAlignment w:val="auto"/>
        <w:outlineLvl w:val="1"/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  <w:t>(1)工作任务分配综合考虑框架入围排名、企业及人员力量、上年度资信评价三方面因素，其中框架入围排名权重占比40%，企业及人员力量权重占比40%，上年度资信评价权重占比20%。</w:t>
      </w:r>
    </w:p>
    <w:p w14:paraId="499556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ind w:firstLine="640" w:firstLineChars="200"/>
        <w:contextualSpacing/>
        <w:jc w:val="both"/>
        <w:textAlignment w:val="auto"/>
        <w:outlineLvl w:val="1"/>
        <w:rPr>
          <w:rFonts w:hint="default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  <w:t>(2)评分因素</w:t>
      </w:r>
    </w:p>
    <w:p w14:paraId="6C46B5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ind w:firstLine="640" w:firstLineChars="200"/>
        <w:contextualSpacing/>
        <w:jc w:val="both"/>
        <w:textAlignment w:val="auto"/>
        <w:outlineLvl w:val="1"/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  <w:t>1)框架采购入围排名：根据供应商候选人排名情况，前6名得90分，后6名得70分。</w:t>
      </w:r>
    </w:p>
    <w:p w14:paraId="61F641B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ind w:firstLine="640" w:firstLineChars="200"/>
        <w:contextualSpacing/>
        <w:jc w:val="both"/>
        <w:textAlignment w:val="auto"/>
        <w:outlineLvl w:val="1"/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  <w:t>2)企业员工规模及拟投入造价人员数量：①依据企业专业力量排序，前6名得50分，后6名得30分。②依据人员备案数量排序，前6名得50分，后6名得30分。</w:t>
      </w:r>
    </w:p>
    <w:p w14:paraId="7CC22C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ind w:firstLine="640" w:firstLineChars="200"/>
        <w:contextualSpacing/>
        <w:jc w:val="both"/>
        <w:textAlignment w:val="auto"/>
        <w:outlineLvl w:val="1"/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  <w:t>3)上年度资信评价</w:t>
      </w:r>
    </w:p>
    <w:p w14:paraId="157BAA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ind w:firstLine="640" w:firstLineChars="200"/>
        <w:contextualSpacing/>
        <w:jc w:val="both"/>
        <w:textAlignment w:val="auto"/>
        <w:outlineLvl w:val="1"/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  <w:t>已在2022年入围配网工程造价资信的单位，评价得分应用《2024年造价咨询服务评价结果》配网工程评价打分；</w:t>
      </w:r>
    </w:p>
    <w:p w14:paraId="1AEFC50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ind w:firstLine="640" w:firstLineChars="200"/>
        <w:contextualSpacing/>
        <w:jc w:val="both"/>
        <w:textAlignment w:val="auto"/>
        <w:outlineLvl w:val="1"/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  <w:t>已在2024年入围主网工程造价资信的单位，评价得分应用《2024年造价咨询服务评价结果》主网工程评价打分；</w:t>
      </w:r>
    </w:p>
    <w:p w14:paraId="7E99E1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ind w:firstLine="640" w:firstLineChars="200"/>
        <w:contextualSpacing/>
        <w:jc w:val="both"/>
        <w:textAlignment w:val="auto"/>
        <w:outlineLvl w:val="1"/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  <w:t>未入围过公司主配网造价咨询的单位，得分85分。</w:t>
      </w:r>
    </w:p>
    <w:p w14:paraId="605C8C7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ind w:left="0" w:leftChars="0" w:firstLine="640" w:firstLineChars="200"/>
        <w:textAlignment w:val="auto"/>
        <w:rPr>
          <w:rFonts w:hint="default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  <w:t>资信得分排序为：配网资信评价&gt;主网资信评价</w:t>
      </w:r>
    </w:p>
    <w:p w14:paraId="201C56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ind w:firstLine="640" w:firstLineChars="200"/>
        <w:contextualSpacing/>
        <w:jc w:val="both"/>
        <w:textAlignment w:val="auto"/>
        <w:outlineLvl w:val="1"/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  <w:t>4）综合得分：按照三方面因素权重占比及得分，计算出综合得分并排名。</w:t>
      </w:r>
    </w:p>
    <w:p w14:paraId="3914D3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ind w:firstLine="643" w:firstLineChars="200"/>
        <w:contextualSpacing/>
        <w:jc w:val="both"/>
        <w:textAlignment w:val="auto"/>
        <w:outlineLvl w:val="1"/>
        <w:rPr>
          <w:rFonts w:hint="eastAsia" w:ascii="仿宋_GB2312" w:hAnsi="仿宋_GB2312" w:eastAsia="仿宋_GB2312" w:cs="仿宋_GB2312"/>
          <w:b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highlight w:val="none"/>
          <w:lang w:val="en-US" w:eastAsia="zh-CN"/>
        </w:rPr>
        <w:t>3、工作任务分配原则</w:t>
      </w:r>
    </w:p>
    <w:p w14:paraId="5C142C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ind w:firstLine="643" w:firstLineChars="200"/>
        <w:contextualSpacing/>
        <w:jc w:val="both"/>
        <w:textAlignment w:val="auto"/>
        <w:outlineLvl w:val="1"/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highlight w:val="none"/>
          <w:lang w:val="en-US" w:eastAsia="zh-CN"/>
        </w:rPr>
        <w:t>（1）一级分配：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  <w:t>由集团公司按照建设单位进行中介机构分配。</w:t>
      </w:r>
    </w:p>
    <w:p w14:paraId="7281B3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ind w:firstLine="640" w:firstLineChars="200"/>
        <w:contextualSpacing/>
        <w:jc w:val="both"/>
        <w:textAlignment w:val="auto"/>
        <w:outlineLvl w:val="1"/>
        <w:rPr>
          <w:rFonts w:hint="default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  <w:t>A.根据年度任务总量计算每个中介机构承揽业务的平均值，确定每个建设单位应分配的中介机构家数，原则上每个建设单位每项业务分配2家以上建设单位，宜一档、二档搭配。</w:t>
      </w:r>
    </w:p>
    <w:p w14:paraId="00C96EB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ind w:firstLine="640" w:firstLineChars="200"/>
        <w:contextualSpacing/>
        <w:jc w:val="both"/>
        <w:textAlignment w:val="auto"/>
        <w:outlineLvl w:val="1"/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  <w:t>B.按照建设单位管理水平及年度工程建设体量，结合中介机构排名，与建设单位进行匹配。</w:t>
      </w:r>
    </w:p>
    <w:p w14:paraId="0C6F4C4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  <w:t>C.原则上排名靠前的匹配平均建设体量较大的建设单位，最终分配结果以</w:t>
      </w: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highlight w:val="none"/>
          <w:lang w:val="en-US" w:eastAsia="zh-CN" w:bidi="ar-SA"/>
        </w:rPr>
        <w:t>公司下达的年度分配文件为准。</w:t>
      </w:r>
    </w:p>
    <w:p w14:paraId="7E10B32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ind w:firstLine="643" w:firstLineChars="200"/>
        <w:contextualSpacing/>
        <w:jc w:val="both"/>
        <w:textAlignment w:val="auto"/>
        <w:outlineLvl w:val="1"/>
        <w:rPr>
          <w:rFonts w:hint="default" w:ascii="仿宋_GB2312" w:hAnsi="仿宋_GB2312" w:eastAsia="仿宋_GB2312" w:cs="仿宋_GB2312"/>
          <w:b w:val="0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highlight w:val="none"/>
          <w:lang w:val="en-US" w:eastAsia="zh-CN" w:bidi="ar-SA"/>
        </w:rPr>
        <w:t>（2）二级分配：</w:t>
      </w: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highlight w:val="none"/>
          <w:lang w:val="en-US" w:eastAsia="zh-CN" w:bidi="ar-SA"/>
        </w:rPr>
        <w:t>由建设单位按照单项工程进行中介机构分配。</w:t>
      </w:r>
    </w:p>
    <w:p w14:paraId="6E188E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ind w:firstLine="640" w:firstLineChars="200"/>
        <w:contextualSpacing/>
        <w:jc w:val="both"/>
        <w:textAlignment w:val="auto"/>
        <w:outlineLvl w:val="1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highlight w:val="none"/>
          <w:lang w:val="en-US" w:eastAsia="zh-CN" w:bidi="ar-SA"/>
        </w:rPr>
        <w:t>A.建设单位根据工程进度需要及排名情况，在集团公司分配的基础上进行二次分配。</w:t>
      </w:r>
    </w:p>
    <w:p w14:paraId="6FECCC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ind w:firstLine="640" w:firstLineChars="200"/>
        <w:contextualSpacing/>
        <w:jc w:val="both"/>
        <w:textAlignment w:val="auto"/>
        <w:outlineLvl w:val="1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highlight w:val="none"/>
          <w:lang w:val="en-US" w:eastAsia="zh-CN" w:bidi="ar-SA"/>
        </w:rPr>
        <w:t>B.建设单位分配业务应与排名划档相符，一档、二档中介机构业务分配比例应符合60%、40%。</w:t>
      </w:r>
    </w:p>
    <w:p w14:paraId="071225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ind w:firstLine="640" w:firstLineChars="200"/>
        <w:contextualSpacing/>
        <w:jc w:val="both"/>
        <w:textAlignment w:val="auto"/>
        <w:outlineLvl w:val="1"/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highlight w:val="none"/>
          <w:lang w:val="en-US" w:eastAsia="zh-CN" w:bidi="ar-SA"/>
        </w:rPr>
        <w:t>C.二次分配应根据上一期资信通报情况进行动态调整。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9A218C"/>
    <w:rsid w:val="30BB7F4B"/>
    <w:rsid w:val="578C61A4"/>
    <w:rsid w:val="5A9A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560" w:firstLineChars="200"/>
      <w:jc w:val="both"/>
    </w:pPr>
    <w:rPr>
      <w:rFonts w:eastAsia="宋体" w:asciiTheme="minorHAnsi" w:hAnsiTheme="minorHAnsi" w:cstheme="minorBidi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ind w:firstLine="420"/>
    </w:pPr>
  </w:style>
  <w:style w:type="paragraph" w:styleId="3">
    <w:name w:val="Body Text Indent"/>
    <w:basedOn w:val="1"/>
    <w:next w:val="4"/>
    <w:qFormat/>
    <w:uiPriority w:val="99"/>
    <w:pPr>
      <w:ind w:firstLine="360"/>
    </w:pPr>
    <w:rPr>
      <w:sz w:val="18"/>
    </w:rPr>
  </w:style>
  <w:style w:type="paragraph" w:styleId="4">
    <w:name w:val="footnote text"/>
    <w:basedOn w:val="1"/>
    <w:qFormat/>
    <w:uiPriority w:val="0"/>
    <w:pPr>
      <w:snapToGrid w:val="0"/>
      <w:ind w:firstLine="200"/>
      <w:jc w:val="left"/>
    </w:pPr>
    <w:rPr>
      <w:rFonts w:ascii="Times New Roman" w:hAnsi="Times New Roman" w:eastAsia="华文仿宋" w:cs="Times New Roman"/>
      <w:kern w:val="0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798</Words>
  <Characters>840</Characters>
  <Lines>0</Lines>
  <Paragraphs>0</Paragraphs>
  <TotalTime>985</TotalTime>
  <ScaleCrop>false</ScaleCrop>
  <LinksUpToDate>false</LinksUpToDate>
  <CharactersWithSpaces>840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2024-11-18T09:45:00Z</dcterms:created>
  <dc:creator>杨晓宇</dc:creator>
  <cp:lastModifiedBy>Cyril</cp:lastModifiedBy>
  <dcterms:modified xsi:type="dcterms:W3CDTF">2024-12-03T09:28:24Z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BC681C6B64BA4B74BC5CC40FF4A06666</vt:lpwstr>
  </property>
</Properties>
</file>