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A41368">
      <w:pPr>
        <w:pageBreakBefore w:val="0"/>
        <w:kinsoku/>
        <w:overflowPunct/>
        <w:topLinePunct w:val="0"/>
        <w:bidi w:val="0"/>
        <w:spacing w:before="240" w:line="360" w:lineRule="auto"/>
        <w:ind w:firstLine="0" w:firstLineChars="0"/>
        <w:contextualSpacing/>
        <w:jc w:val="center"/>
        <w:textAlignment w:val="auto"/>
        <w:rPr>
          <w:rFonts w:ascii="Times New Roman" w:hAnsi="Times New Roman" w:eastAsia="宋体"/>
          <w:b/>
          <w:color w:val="auto"/>
          <w:sz w:val="28"/>
          <w:szCs w:val="28"/>
        </w:rPr>
      </w:pPr>
      <w:bookmarkStart w:id="0" w:name="_Hlk533702865"/>
      <w:r>
        <w:rPr>
          <w:rFonts w:hint="eastAsia" w:eastAsia="宋体"/>
          <w:b/>
          <w:color w:val="auto"/>
          <w:sz w:val="28"/>
          <w:szCs w:val="28"/>
          <w:lang w:eastAsia="zh-CN"/>
        </w:rPr>
        <w:t>内蒙古电力（集团）有限责任公司数字研究分公司2024年A级大数据中心零购</w:t>
      </w:r>
      <w:r>
        <w:rPr>
          <w:rFonts w:hint="eastAsia" w:eastAsia="宋体"/>
          <w:b/>
          <w:color w:val="auto"/>
          <w:sz w:val="28"/>
          <w:szCs w:val="28"/>
          <w:lang w:val="en-US" w:eastAsia="zh-CN"/>
        </w:rPr>
        <w:t>竞价</w:t>
      </w:r>
      <w:r>
        <w:rPr>
          <w:rFonts w:hint="eastAsia" w:ascii="Times New Roman" w:hAnsi="Times New Roman" w:eastAsia="宋体"/>
          <w:b/>
          <w:color w:val="auto"/>
          <w:sz w:val="28"/>
          <w:szCs w:val="28"/>
        </w:rPr>
        <w:t>采购</w:t>
      </w:r>
      <w:r>
        <w:rPr>
          <w:rFonts w:hint="eastAsia" w:eastAsia="宋体"/>
          <w:b/>
          <w:color w:val="auto"/>
          <w:sz w:val="28"/>
          <w:szCs w:val="28"/>
          <w:lang w:eastAsia="zh-CN"/>
        </w:rPr>
        <w:t>（</w:t>
      </w:r>
      <w:r>
        <w:rPr>
          <w:rFonts w:hint="eastAsia" w:eastAsia="宋体"/>
          <w:b/>
          <w:color w:val="auto"/>
          <w:sz w:val="28"/>
          <w:szCs w:val="28"/>
          <w:lang w:val="en-US" w:eastAsia="zh-CN"/>
        </w:rPr>
        <w:t>重新采购</w:t>
      </w:r>
      <w:r>
        <w:rPr>
          <w:rFonts w:hint="eastAsia" w:eastAsia="宋体"/>
          <w:b/>
          <w:color w:val="auto"/>
          <w:sz w:val="28"/>
          <w:szCs w:val="28"/>
          <w:lang w:eastAsia="zh-CN"/>
        </w:rPr>
        <w:t>）</w:t>
      </w:r>
      <w:r>
        <w:rPr>
          <w:rFonts w:hint="eastAsia" w:ascii="Times New Roman" w:hAnsi="Times New Roman" w:eastAsia="宋体"/>
          <w:b/>
          <w:color w:val="auto"/>
          <w:sz w:val="28"/>
          <w:szCs w:val="28"/>
        </w:rPr>
        <w:t>公告</w:t>
      </w:r>
    </w:p>
    <w:p w14:paraId="30FEBA36">
      <w:pPr>
        <w:keepNext w:val="0"/>
        <w:keepLines w:val="0"/>
        <w:pageBreakBefore w:val="0"/>
        <w:numPr>
          <w:ilvl w:val="0"/>
          <w:numId w:val="0"/>
        </w:numPr>
        <w:kinsoku/>
        <w:wordWrap/>
        <w:overflowPunct/>
        <w:topLinePunct w:val="0"/>
        <w:autoSpaceDE/>
        <w:autoSpaceDN/>
        <w:bidi w:val="0"/>
        <w:adjustRightInd w:val="0"/>
        <w:snapToGrid/>
        <w:spacing w:beforeLines="50" w:afterLines="50" w:line="360" w:lineRule="auto"/>
        <w:ind w:firstLine="482" w:firstLineChars="200"/>
        <w:contextualSpacing/>
        <w:jc w:val="center"/>
        <w:textAlignment w:val="auto"/>
        <w:outlineLvl w:val="1"/>
        <w:rPr>
          <w:rFonts w:hint="eastAsia" w:eastAsia="宋体"/>
          <w:b/>
          <w:color w:val="auto"/>
          <w:sz w:val="24"/>
          <w:szCs w:val="24"/>
          <w:lang w:eastAsia="zh-CN"/>
        </w:rPr>
      </w:pPr>
      <w:bookmarkStart w:id="1" w:name="_Toc286333061"/>
      <w:r>
        <w:rPr>
          <w:rFonts w:hint="eastAsia" w:ascii="Times New Roman" w:hAnsi="Times New Roman" w:eastAsia="宋体"/>
          <w:b/>
          <w:color w:val="auto"/>
          <w:sz w:val="24"/>
          <w:szCs w:val="24"/>
        </w:rPr>
        <w:t>项目编号：</w:t>
      </w:r>
      <w:bookmarkEnd w:id="1"/>
      <w:bookmarkStart w:id="2" w:name="_Toc24107"/>
      <w:bookmarkStart w:id="3" w:name="_Toc21515"/>
      <w:bookmarkStart w:id="4" w:name="_Toc39827526"/>
      <w:bookmarkStart w:id="5" w:name="_Toc527970775"/>
      <w:bookmarkStart w:id="6" w:name="_Toc527978785"/>
      <w:bookmarkStart w:id="7" w:name="_Toc487214768"/>
      <w:bookmarkStart w:id="8" w:name="_Toc449194178"/>
      <w:bookmarkStart w:id="9" w:name="_Toc487729869"/>
      <w:bookmarkStart w:id="10" w:name="_Toc39827091"/>
      <w:bookmarkStart w:id="11" w:name="_Toc38213876"/>
      <w:bookmarkStart w:id="12" w:name="_Toc4102801"/>
      <w:bookmarkStart w:id="13" w:name="_Toc39827461"/>
      <w:bookmarkStart w:id="14" w:name="_Toc449193527"/>
      <w:bookmarkStart w:id="15" w:name="_Toc4148803"/>
      <w:r>
        <w:rPr>
          <w:rFonts w:hint="eastAsia" w:eastAsia="宋体"/>
          <w:b/>
          <w:color w:val="auto"/>
          <w:sz w:val="24"/>
          <w:szCs w:val="24"/>
          <w:lang w:eastAsia="zh-CN"/>
        </w:rPr>
        <w:t>NMDLSY-2024-005</w:t>
      </w:r>
    </w:p>
    <w:p w14:paraId="108588C5">
      <w:pPr>
        <w:keepNext w:val="0"/>
        <w:keepLines w:val="0"/>
        <w:pageBreakBefore w:val="0"/>
        <w:numPr>
          <w:ilvl w:val="0"/>
          <w:numId w:val="0"/>
        </w:numPr>
        <w:kinsoku/>
        <w:wordWrap/>
        <w:overflowPunct/>
        <w:topLinePunct w:val="0"/>
        <w:autoSpaceDE/>
        <w:autoSpaceDN/>
        <w:bidi w:val="0"/>
        <w:adjustRightInd w:val="0"/>
        <w:snapToGrid/>
        <w:spacing w:beforeLines="50" w:afterLines="50" w:line="360" w:lineRule="auto"/>
        <w:ind w:firstLine="480" w:firstLineChars="200"/>
        <w:contextualSpacing/>
        <w:textAlignment w:val="auto"/>
        <w:outlineLvl w:val="1"/>
        <w:rPr>
          <w:rFonts w:hint="eastAsia" w:eastAsia="宋体"/>
          <w:b w:val="0"/>
          <w:bCs/>
          <w:sz w:val="24"/>
          <w:lang w:val="en-US" w:eastAsia="zh-CN"/>
        </w:rPr>
      </w:pPr>
      <w:r>
        <w:rPr>
          <w:rFonts w:hint="eastAsia" w:eastAsia="宋体"/>
          <w:b w:val="0"/>
          <w:bCs/>
          <w:color w:val="auto"/>
          <w:sz w:val="24"/>
          <w:lang w:val="en-US" w:eastAsia="zh-CN"/>
        </w:rPr>
        <w:t>本项目内蒙古电力（集团）有限责任公司数字研究分公司2024年A级大数据中心零购竞价采购（重新采购）采购人为内蒙古电力（集团）有限责任公司数字研究分公司，委托内蒙古中实工程招标咨询</w:t>
      </w:r>
      <w:r>
        <w:rPr>
          <w:rFonts w:hint="eastAsia" w:eastAsia="宋体"/>
          <w:b w:val="0"/>
          <w:bCs/>
          <w:sz w:val="24"/>
          <w:lang w:val="en-US" w:eastAsia="zh-CN"/>
        </w:rPr>
        <w:t>有限责任公司为采购代理机构。该项目已具备采购条件。现将有关事宜公告如下：</w:t>
      </w:r>
      <w:bookmarkEnd w:id="2"/>
      <w:bookmarkEnd w:id="3"/>
    </w:p>
    <w:bookmarkEnd w:id="4"/>
    <w:bookmarkEnd w:id="5"/>
    <w:bookmarkEnd w:id="6"/>
    <w:bookmarkEnd w:id="7"/>
    <w:bookmarkEnd w:id="8"/>
    <w:bookmarkEnd w:id="9"/>
    <w:bookmarkEnd w:id="10"/>
    <w:bookmarkEnd w:id="11"/>
    <w:bookmarkEnd w:id="12"/>
    <w:bookmarkEnd w:id="13"/>
    <w:bookmarkEnd w:id="14"/>
    <w:bookmarkEnd w:id="15"/>
    <w:p w14:paraId="3E14B759">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cs="Times New Roman"/>
          <w:b/>
          <w:color w:val="auto"/>
          <w:sz w:val="28"/>
          <w:szCs w:val="28"/>
          <w:highlight w:val="none"/>
          <w:lang w:val="en-US" w:eastAsia="zh-CN"/>
        </w:rPr>
      </w:pPr>
      <w:bookmarkStart w:id="16" w:name="_Toc7570"/>
      <w:bookmarkStart w:id="17" w:name="_Toc31194"/>
      <w:r>
        <w:rPr>
          <w:rFonts w:hint="eastAsia" w:ascii="Times New Roman" w:hAnsi="Times New Roman" w:eastAsia="宋体" w:cs="Times New Roman"/>
          <w:b/>
          <w:color w:val="auto"/>
          <w:sz w:val="28"/>
          <w:szCs w:val="28"/>
          <w:highlight w:val="none"/>
          <w:lang w:val="en-US" w:eastAsia="zh-CN"/>
        </w:rPr>
        <w:t>项目概况</w:t>
      </w:r>
      <w:bookmarkEnd w:id="16"/>
      <w:bookmarkEnd w:id="17"/>
    </w:p>
    <w:p w14:paraId="48ED4BD4">
      <w:pPr>
        <w:keepNext w:val="0"/>
        <w:keepLines w:val="0"/>
        <w:pageBreakBefore w:val="0"/>
        <w:numPr>
          <w:ilvl w:val="0"/>
          <w:numId w:val="0"/>
        </w:numPr>
        <w:kinsoku/>
        <w:wordWrap/>
        <w:overflowPunct/>
        <w:topLinePunct w:val="0"/>
        <w:autoSpaceDE/>
        <w:autoSpaceDN/>
        <w:bidi w:val="0"/>
        <w:adjustRightInd w:val="0"/>
        <w:snapToGrid/>
        <w:spacing w:beforeLines="50" w:afterLines="50" w:line="360" w:lineRule="auto"/>
        <w:ind w:left="420" w:leftChars="0"/>
        <w:contextualSpacing/>
        <w:textAlignment w:val="auto"/>
        <w:outlineLvl w:val="1"/>
        <w:rPr>
          <w:rFonts w:hint="eastAsia" w:eastAsia="宋体" w:cs="Times New Roman"/>
          <w:b w:val="0"/>
          <w:bCs/>
          <w:sz w:val="24"/>
          <w:lang w:val="en-US" w:eastAsia="zh-CN"/>
        </w:rPr>
      </w:pPr>
      <w:bookmarkStart w:id="18" w:name="_Toc30020"/>
      <w:bookmarkStart w:id="19" w:name="_Toc6214"/>
      <w:r>
        <w:rPr>
          <w:rFonts w:hint="eastAsia" w:eastAsia="宋体" w:cs="Times New Roman"/>
          <w:b w:val="0"/>
          <w:bCs/>
          <w:sz w:val="24"/>
          <w:lang w:val="en-US" w:eastAsia="zh-CN"/>
        </w:rPr>
        <w:t>1.采购方式：竞价采购</w:t>
      </w:r>
      <w:bookmarkEnd w:id="18"/>
      <w:bookmarkEnd w:id="19"/>
    </w:p>
    <w:p w14:paraId="68C4C6A4">
      <w:pPr>
        <w:keepNext w:val="0"/>
        <w:keepLines w:val="0"/>
        <w:pageBreakBefore w:val="0"/>
        <w:numPr>
          <w:ilvl w:val="0"/>
          <w:numId w:val="0"/>
        </w:numPr>
        <w:kinsoku/>
        <w:wordWrap/>
        <w:overflowPunct/>
        <w:topLinePunct w:val="0"/>
        <w:autoSpaceDE/>
        <w:autoSpaceDN/>
        <w:bidi w:val="0"/>
        <w:adjustRightInd w:val="0"/>
        <w:snapToGrid/>
        <w:spacing w:beforeLines="50" w:afterLines="50" w:line="360" w:lineRule="auto"/>
        <w:ind w:left="420" w:leftChars="0"/>
        <w:contextualSpacing/>
        <w:textAlignment w:val="auto"/>
        <w:outlineLvl w:val="1"/>
        <w:rPr>
          <w:rFonts w:hint="eastAsia" w:eastAsia="宋体" w:cs="Times New Roman"/>
          <w:b w:val="0"/>
          <w:bCs/>
          <w:sz w:val="24"/>
          <w:lang w:val="en-US" w:eastAsia="zh-CN"/>
        </w:rPr>
      </w:pPr>
      <w:bookmarkStart w:id="20" w:name="_Toc2892"/>
      <w:bookmarkStart w:id="21" w:name="_Toc17228"/>
      <w:bookmarkStart w:id="22" w:name="_Toc449194181"/>
      <w:bookmarkStart w:id="23" w:name="_Toc449193530"/>
      <w:r>
        <w:rPr>
          <w:rFonts w:hint="eastAsia" w:eastAsia="宋体" w:cs="Times New Roman"/>
          <w:b w:val="0"/>
          <w:bCs/>
          <w:sz w:val="24"/>
          <w:lang w:val="en-US" w:eastAsia="zh-CN"/>
        </w:rPr>
        <w:t>2.资金来源：已落实</w:t>
      </w:r>
      <w:bookmarkEnd w:id="20"/>
      <w:bookmarkEnd w:id="21"/>
    </w:p>
    <w:p w14:paraId="69F23DA9">
      <w:pPr>
        <w:keepNext w:val="0"/>
        <w:keepLines w:val="0"/>
        <w:pageBreakBefore w:val="0"/>
        <w:numPr>
          <w:ilvl w:val="0"/>
          <w:numId w:val="0"/>
        </w:numPr>
        <w:kinsoku/>
        <w:wordWrap/>
        <w:overflowPunct/>
        <w:topLinePunct w:val="0"/>
        <w:autoSpaceDE/>
        <w:autoSpaceDN/>
        <w:bidi w:val="0"/>
        <w:adjustRightInd w:val="0"/>
        <w:snapToGrid/>
        <w:spacing w:beforeLines="50" w:afterLines="50" w:line="360" w:lineRule="auto"/>
        <w:ind w:left="420" w:leftChars="0"/>
        <w:contextualSpacing/>
        <w:textAlignment w:val="auto"/>
        <w:outlineLvl w:val="1"/>
        <w:rPr>
          <w:rFonts w:hint="eastAsia"/>
          <w:lang w:val="en-US" w:eastAsia="zh-CN"/>
        </w:rPr>
      </w:pPr>
      <w:bookmarkStart w:id="24" w:name="_Toc24391"/>
      <w:bookmarkStart w:id="25" w:name="_Toc1032"/>
      <w:r>
        <w:rPr>
          <w:rFonts w:hint="eastAsia" w:eastAsia="宋体" w:cs="Times New Roman"/>
          <w:b w:val="0"/>
          <w:bCs/>
          <w:sz w:val="24"/>
          <w:lang w:val="en-US" w:eastAsia="zh-CN"/>
        </w:rPr>
        <w:t>3.本项目采购内容及范围：</w:t>
      </w:r>
      <w:bookmarkEnd w:id="22"/>
      <w:bookmarkEnd w:id="23"/>
      <w:bookmarkEnd w:id="24"/>
      <w:bookmarkEnd w:id="25"/>
      <w:r>
        <w:rPr>
          <w:rFonts w:hint="eastAsia" w:eastAsia="宋体" w:cs="Times New Roman"/>
          <w:b w:val="0"/>
          <w:bCs/>
          <w:sz w:val="24"/>
          <w:lang w:val="en-US" w:eastAsia="zh-CN"/>
        </w:rPr>
        <w:t>详见附件1：标段划分表</w:t>
      </w:r>
    </w:p>
    <w:p w14:paraId="61863BB1">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cs="Times New Roman"/>
          <w:b/>
          <w:color w:val="auto"/>
          <w:sz w:val="28"/>
          <w:szCs w:val="28"/>
          <w:highlight w:val="none"/>
          <w:lang w:val="en-US" w:eastAsia="zh-CN"/>
        </w:rPr>
      </w:pPr>
      <w:bookmarkStart w:id="26" w:name="_Toc19582"/>
      <w:bookmarkStart w:id="27" w:name="_Toc5950"/>
      <w:r>
        <w:rPr>
          <w:rFonts w:hint="eastAsia" w:ascii="Times New Roman" w:hAnsi="Times New Roman" w:eastAsia="宋体" w:cs="Times New Roman"/>
          <w:b/>
          <w:color w:val="auto"/>
          <w:sz w:val="28"/>
          <w:szCs w:val="28"/>
          <w:highlight w:val="none"/>
          <w:lang w:val="en-US" w:eastAsia="zh-CN"/>
        </w:rPr>
        <w:t>资格要求</w:t>
      </w:r>
      <w:bookmarkEnd w:id="26"/>
      <w:bookmarkEnd w:id="27"/>
    </w:p>
    <w:p w14:paraId="25CB7B9A">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leftChars="196"/>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通用资格要求</w:t>
      </w:r>
    </w:p>
    <w:p w14:paraId="0D4987B9">
      <w:pPr>
        <w:keepNext w:val="0"/>
        <w:keepLines w:val="0"/>
        <w:pageBreakBefore w:val="0"/>
        <w:widowControl w:val="0"/>
        <w:numPr>
          <w:ilvl w:val="0"/>
          <w:numId w:val="2"/>
        </w:numPr>
        <w:kinsoku/>
        <w:wordWrap w:val="0"/>
        <w:overflowPunct/>
        <w:topLinePunct w:val="0"/>
        <w:autoSpaceDE/>
        <w:autoSpaceDN/>
        <w:bidi w:val="0"/>
        <w:adjustRightInd/>
        <w:snapToGrid/>
        <w:spacing w:line="360" w:lineRule="auto"/>
        <w:ind w:left="0" w:leftChars="0"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本次</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要求</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须为中华人民共和国境内依法注册的</w:t>
      </w:r>
      <w:r>
        <w:rPr>
          <w:rFonts w:hint="eastAsia" w:ascii="宋体" w:hAnsi="宋体" w:eastAsia="宋体" w:cs="宋体"/>
          <w:color w:val="auto"/>
          <w:sz w:val="24"/>
          <w:szCs w:val="24"/>
          <w:highlight w:val="none"/>
          <w:lang w:val="en-US" w:eastAsia="zh-CN"/>
        </w:rPr>
        <w:t>法人或其它组织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并在人员、设备、资金等方面具有保障承担项目的能力。</w:t>
      </w:r>
    </w:p>
    <w:p w14:paraId="1A278C08">
      <w:pPr>
        <w:keepNext w:val="0"/>
        <w:keepLines w:val="0"/>
        <w:pageBreakBefore w:val="0"/>
        <w:widowControl w:val="0"/>
        <w:numPr>
          <w:ilvl w:val="0"/>
          <w:numId w:val="2"/>
        </w:numPr>
        <w:kinsoku/>
        <w:wordWrap w:val="0"/>
        <w:overflowPunct/>
        <w:topLinePunct w:val="0"/>
        <w:autoSpaceDE/>
        <w:autoSpaceDN/>
        <w:bidi w:val="0"/>
        <w:adjustRightInd/>
        <w:snapToGrid/>
        <w:spacing w:line="360" w:lineRule="auto"/>
        <w:ind w:left="0" w:leftChars="0"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单位负责人为同一人或者存在控股、管理关系的不同单位，不得参加同一标段</w:t>
      </w:r>
      <w:r>
        <w:rPr>
          <w:rFonts w:hint="eastAsia" w:ascii="宋体" w:hAnsi="宋体" w:eastAsia="宋体" w:cs="宋体"/>
          <w:color w:val="auto"/>
          <w:sz w:val="24"/>
          <w:szCs w:val="24"/>
          <w:highlight w:val="none"/>
          <w:lang w:eastAsia="zh-CN"/>
        </w:rPr>
        <w:t>响应</w:t>
      </w:r>
      <w:r>
        <w:rPr>
          <w:rFonts w:hint="eastAsia" w:ascii="宋体" w:hAnsi="宋体" w:eastAsia="宋体" w:cs="宋体"/>
          <w:color w:val="auto"/>
          <w:sz w:val="24"/>
          <w:szCs w:val="24"/>
          <w:highlight w:val="none"/>
        </w:rPr>
        <w:t>或者未划分标段的同一项目</w:t>
      </w:r>
      <w:r>
        <w:rPr>
          <w:rFonts w:hint="eastAsia" w:ascii="宋体" w:hAnsi="宋体" w:eastAsia="宋体" w:cs="宋体"/>
          <w:color w:val="auto"/>
          <w:sz w:val="24"/>
          <w:szCs w:val="24"/>
          <w:highlight w:val="none"/>
          <w:lang w:eastAsia="zh-CN"/>
        </w:rPr>
        <w:t>响应</w:t>
      </w:r>
      <w:r>
        <w:rPr>
          <w:rFonts w:hint="eastAsia" w:ascii="宋体" w:hAnsi="宋体" w:eastAsia="宋体" w:cs="宋体"/>
          <w:color w:val="auto"/>
          <w:sz w:val="24"/>
          <w:szCs w:val="24"/>
          <w:highlight w:val="none"/>
        </w:rPr>
        <w:t>。母子公司不能互用资质、业绩。</w:t>
      </w:r>
    </w:p>
    <w:p w14:paraId="5F526152">
      <w:pPr>
        <w:keepNext w:val="0"/>
        <w:keepLines w:val="0"/>
        <w:pageBreakBefore w:val="0"/>
        <w:widowControl w:val="0"/>
        <w:numPr>
          <w:ilvl w:val="0"/>
          <w:numId w:val="2"/>
        </w:numPr>
        <w:kinsoku/>
        <w:wordWrap w:val="0"/>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供应商及其法定代表人近三年内在中国裁判文书网（wenshu.court.gov.cn）无行贿犯罪档案。</w:t>
      </w:r>
    </w:p>
    <w:p w14:paraId="5ADBA48F">
      <w:pPr>
        <w:keepNext w:val="0"/>
        <w:keepLines w:val="0"/>
        <w:pageBreakBefore w:val="0"/>
        <w:widowControl w:val="0"/>
        <w:numPr>
          <w:ilvl w:val="0"/>
          <w:numId w:val="2"/>
        </w:numPr>
        <w:kinsoku/>
        <w:wordWrap w:val="0"/>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供应商未被工商行政管理机关在</w:t>
      </w:r>
      <w:r>
        <w:rPr>
          <w:rFonts w:hint="eastAsia" w:ascii="宋体" w:hAnsi="宋体" w:eastAsia="宋体" w:cs="宋体"/>
          <w:color w:val="auto"/>
          <w:sz w:val="24"/>
          <w:szCs w:val="24"/>
          <w:highlight w:val="none"/>
          <w:lang w:val="en-US" w:eastAsia="zh-CN"/>
        </w:rPr>
        <w:t>国家</w:t>
      </w:r>
      <w:r>
        <w:rPr>
          <w:rFonts w:hint="eastAsia" w:ascii="宋体" w:hAnsi="宋体" w:eastAsia="宋体" w:cs="宋体"/>
          <w:color w:val="auto"/>
          <w:sz w:val="24"/>
          <w:szCs w:val="24"/>
          <w:highlight w:val="none"/>
          <w:lang w:eastAsia="zh-CN"/>
        </w:rPr>
        <w:t>企业信用信息公示系统</w:t>
      </w:r>
      <w:r>
        <w:rPr>
          <w:rFonts w:hint="eastAsia"/>
          <w:color w:val="auto"/>
          <w:highlight w:val="none"/>
        </w:rPr>
        <w:t>（www.</w:t>
      </w:r>
      <w:r>
        <w:rPr>
          <w:rFonts w:hint="eastAsia"/>
          <w:color w:val="auto"/>
          <w:highlight w:val="none"/>
          <w:lang w:val="en-US" w:eastAsia="zh-CN"/>
        </w:rPr>
        <w:t>gsxt</w:t>
      </w:r>
      <w:r>
        <w:rPr>
          <w:rFonts w:hint="eastAsia"/>
          <w:color w:val="auto"/>
          <w:highlight w:val="none"/>
        </w:rPr>
        <w:t>.gov.cn）</w:t>
      </w:r>
      <w:r>
        <w:rPr>
          <w:rFonts w:hint="eastAsia" w:ascii="宋体" w:hAnsi="宋体" w:eastAsia="宋体" w:cs="宋体"/>
          <w:color w:val="auto"/>
          <w:sz w:val="24"/>
          <w:szCs w:val="24"/>
          <w:highlight w:val="none"/>
          <w:lang w:eastAsia="zh-CN"/>
        </w:rPr>
        <w:t>中列入“严重违法失信企业名单”。</w:t>
      </w:r>
    </w:p>
    <w:p w14:paraId="23F1D5F9">
      <w:pPr>
        <w:keepNext w:val="0"/>
        <w:keepLines w:val="0"/>
        <w:pageBreakBefore w:val="0"/>
        <w:widowControl w:val="0"/>
        <w:numPr>
          <w:ilvl w:val="0"/>
          <w:numId w:val="2"/>
        </w:numPr>
        <w:kinsoku/>
        <w:wordWrap w:val="0"/>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未被最高人民法院在“信用中国”网站（www.creditchina.gov.cn）或各级信用信息共享平台中列入失信被执行人名单。</w:t>
      </w:r>
    </w:p>
    <w:p w14:paraId="51F667B2">
      <w:pPr>
        <w:keepNext w:val="0"/>
        <w:keepLines w:val="0"/>
        <w:pageBreakBefore w:val="0"/>
        <w:widowControl w:val="0"/>
        <w:numPr>
          <w:ilvl w:val="0"/>
          <w:numId w:val="2"/>
        </w:numPr>
        <w:kinsoku/>
        <w:wordWrap w:val="0"/>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未被列入《内蒙古电力（集团）有限责任公司不良行为供应商名单》和中国电力企业联合会公布的“中电联关于公布涉电力领域重点关注对象名单”。</w:t>
      </w:r>
    </w:p>
    <w:p w14:paraId="565BE36D">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70" w:firstLineChars="19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本次采购不接受联合体。</w:t>
      </w:r>
    </w:p>
    <w:p w14:paraId="2E8B1730">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leftChars="196"/>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专用资格要求</w:t>
      </w:r>
    </w:p>
    <w:p w14:paraId="4A649BD5">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leftChars="196"/>
        <w:textAlignment w:val="auto"/>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详见附件1：标段划分表</w:t>
      </w:r>
    </w:p>
    <w:p w14:paraId="4FF0B2C6">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b/>
          <w:color w:val="auto"/>
          <w:sz w:val="28"/>
          <w:szCs w:val="28"/>
          <w:highlight w:val="none"/>
          <w:lang w:val="en-US" w:eastAsia="zh-CN"/>
        </w:rPr>
      </w:pPr>
      <w:bookmarkStart w:id="28" w:name="_Toc487729873"/>
      <w:bookmarkStart w:id="29" w:name="_Toc39827469"/>
      <w:bookmarkStart w:id="30" w:name="_Toc39827534"/>
      <w:bookmarkStart w:id="31" w:name="_Toc3631"/>
      <w:bookmarkStart w:id="32" w:name="_Toc527978789"/>
      <w:bookmarkStart w:id="33" w:name="_Toc487214772"/>
      <w:bookmarkStart w:id="34" w:name="_Toc527970779"/>
      <w:bookmarkStart w:id="35" w:name="_Toc4148806"/>
      <w:bookmarkStart w:id="36" w:name="_Toc5503"/>
      <w:bookmarkStart w:id="37" w:name="_Toc38213884"/>
      <w:bookmarkStart w:id="38" w:name="_Toc2634"/>
      <w:bookmarkStart w:id="39" w:name="_Toc39827099"/>
      <w:bookmarkStart w:id="40" w:name="_Toc4102804"/>
      <w:r>
        <w:rPr>
          <w:rFonts w:hint="eastAsia" w:ascii="Times New Roman" w:hAnsi="Times New Roman" w:eastAsia="宋体"/>
          <w:b/>
          <w:color w:val="auto"/>
          <w:sz w:val="28"/>
          <w:szCs w:val="28"/>
          <w:highlight w:val="none"/>
          <w:lang w:val="en-US" w:eastAsia="zh-CN"/>
        </w:rPr>
        <w:t>采购文件的获取</w:t>
      </w:r>
      <w:bookmarkEnd w:id="28"/>
      <w:bookmarkEnd w:id="29"/>
      <w:bookmarkEnd w:id="30"/>
      <w:bookmarkEnd w:id="31"/>
      <w:bookmarkEnd w:id="32"/>
      <w:bookmarkEnd w:id="33"/>
      <w:bookmarkEnd w:id="34"/>
      <w:bookmarkEnd w:id="35"/>
      <w:bookmarkEnd w:id="36"/>
      <w:bookmarkEnd w:id="37"/>
      <w:bookmarkEnd w:id="38"/>
      <w:bookmarkEnd w:id="39"/>
      <w:bookmarkEnd w:id="40"/>
    </w:p>
    <w:p w14:paraId="5B498B4B">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70" w:firstLineChars="19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获取时间及方式：本项目实行在线报名和获取采购文件。凡有意参加响应者，请于2024</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26</w:t>
      </w:r>
      <w:r>
        <w:rPr>
          <w:rFonts w:hint="eastAsia" w:ascii="宋体" w:hAnsi="宋体" w:eastAsia="宋体" w:cs="宋体"/>
          <w:color w:val="auto"/>
          <w:sz w:val="24"/>
          <w:szCs w:val="24"/>
          <w:highlight w:val="none"/>
        </w:rPr>
        <w:t>日起至</w:t>
      </w:r>
      <w:r>
        <w:rPr>
          <w:rFonts w:hint="eastAsia" w:ascii="宋体" w:hAnsi="宋体" w:eastAsia="宋体" w:cs="宋体"/>
          <w:color w:val="auto"/>
          <w:sz w:val="24"/>
          <w:szCs w:val="24"/>
          <w:highlight w:val="none"/>
          <w:lang w:val="en-US" w:eastAsia="zh-CN"/>
        </w:rPr>
        <w:t>2024年8</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日17:00</w:t>
      </w:r>
      <w:r>
        <w:rPr>
          <w:rFonts w:hint="eastAsia" w:ascii="宋体" w:hAnsi="宋体" w:eastAsia="宋体" w:cs="宋体"/>
          <w:color w:val="auto"/>
          <w:sz w:val="24"/>
          <w:szCs w:val="24"/>
          <w:highlight w:val="none"/>
          <w:lang w:val="en-US" w:eastAsia="zh-CN"/>
        </w:rPr>
        <w:t>前</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北</w:t>
      </w:r>
      <w:r>
        <w:rPr>
          <w:rFonts w:hint="eastAsia" w:ascii="宋体" w:hAnsi="宋体" w:eastAsia="宋体" w:cs="宋体"/>
          <w:color w:val="auto"/>
          <w:sz w:val="24"/>
          <w:szCs w:val="24"/>
          <w:highlight w:val="none"/>
        </w:rPr>
        <w:t>京时间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，进入《内蒙古电力集团电子采购系统》（http://guocai-impc.cppchina.cn）在线递交报名资料和获取采购文件，逾期不予受理。</w:t>
      </w:r>
    </w:p>
    <w:p w14:paraId="4EAD1AD9">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70" w:firstLineChars="196"/>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采购文件工本费</w:t>
      </w:r>
      <w:r>
        <w:rPr>
          <w:rFonts w:hint="eastAsia" w:ascii="宋体" w:hAnsi="宋体" w:eastAsia="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不收费</w:t>
      </w:r>
      <w:r>
        <w:rPr>
          <w:rFonts w:hint="eastAsia" w:ascii="宋体" w:hAnsi="宋体" w:eastAsia="宋体" w:cs="宋体"/>
          <w:color w:val="auto"/>
          <w:sz w:val="24"/>
          <w:szCs w:val="24"/>
          <w:highlight w:val="none"/>
          <w:lang w:val="en-US" w:eastAsia="zh-CN"/>
        </w:rPr>
        <w:t>。</w:t>
      </w:r>
    </w:p>
    <w:p w14:paraId="6A2F3571">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70" w:firstLineChars="196"/>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客服电话</w:t>
      </w:r>
      <w:r>
        <w:rPr>
          <w:rFonts w:hint="eastAsia" w:ascii="宋体" w:hAnsi="宋体" w:eastAsia="宋体" w:cs="宋体"/>
          <w:color w:val="auto"/>
          <w:sz w:val="24"/>
          <w:szCs w:val="24"/>
          <w:highlight w:val="none"/>
          <w:lang w:val="en-US" w:eastAsia="zh-CN"/>
        </w:rPr>
        <w:t>：供应商下载采购文件失败或遇到其他问题请拨打客服电话：400-9913-966 (周一～周五9:00-17:00)联系咨询</w:t>
      </w:r>
      <w:r>
        <w:rPr>
          <w:rFonts w:hint="default" w:ascii="宋体" w:hAnsi="宋体" w:eastAsia="宋体" w:cs="宋体"/>
          <w:color w:val="auto"/>
          <w:sz w:val="24"/>
          <w:szCs w:val="24"/>
          <w:highlight w:val="none"/>
          <w:lang w:val="en-US" w:eastAsia="zh-CN"/>
        </w:rPr>
        <w:t>。</w:t>
      </w:r>
    </w:p>
    <w:p w14:paraId="6DC14ACA">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70" w:firstLineChars="19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获取方式:</w:t>
      </w:r>
    </w:p>
    <w:p w14:paraId="44A34E3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14:paraId="19FE990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报名具体流程为：登录平台→在报名管理界面查看最新采购项目→供应商报名提交报名资料，通过资格查验的供应商报名后通过“文件下载”界面下载采购文件。平台联系电话：400-9913-966 。</w:t>
      </w:r>
    </w:p>
    <w:p w14:paraId="3F29BD4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报名单位须凭【中招互连】APP办理项目后续电子响应事宜，之前未进行注册【中招互连】APP的企业需要下载【中招互连】APP，根据提示即可在线办理相关事宜，后续所有流程全部扫码登录，扫码签章，扫码加密，扫码解密。</w:t>
      </w:r>
    </w:p>
    <w:p w14:paraId="2DE219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注：1、之前使用实体CA的企业可以继续使用，CA证书到期后在进行注册【中招互连】APP。2、目前处于CA、扫码交替阶段，供应商需要注意以下事项：（1）避免使用CA加密，而使用扫码解密。反之同理。（2）扫码登录，扫码签章，扫码加密，扫码解密， 登录APP的手机号必须保持一致。</w:t>
      </w:r>
    </w:p>
    <w:p w14:paraId="426A8A02">
      <w:pPr>
        <w:pageBreakBefore w:val="0"/>
        <w:numPr>
          <w:ilvl w:val="0"/>
          <w:numId w:val="0"/>
        </w:numPr>
        <w:kinsoku/>
        <w:overflowPunct/>
        <w:topLinePunct w:val="0"/>
        <w:bidi w:val="0"/>
        <w:spacing w:before="240" w:line="360" w:lineRule="auto"/>
        <w:ind w:firstLine="482" w:firstLineChars="200"/>
        <w:contextualSpacing/>
        <w:textAlignment w:val="auto"/>
        <w:rPr>
          <w:rFonts w:hint="eastAsia" w:ascii="Times New Roman" w:hAnsi="Times New Roman" w:eastAsia="宋体"/>
          <w:b/>
          <w:bCs/>
          <w:color w:val="auto"/>
          <w:sz w:val="24"/>
          <w:highlight w:val="none"/>
        </w:rPr>
      </w:pPr>
      <w:r>
        <w:rPr>
          <w:rFonts w:hint="eastAsia" w:ascii="Times New Roman" w:hAnsi="Times New Roman"/>
          <w:b/>
          <w:bCs/>
          <w:color w:val="auto"/>
          <w:sz w:val="24"/>
          <w:highlight w:val="none"/>
          <w:lang w:val="en-US" w:eastAsia="zh-CN"/>
        </w:rPr>
        <w:t>5.</w:t>
      </w:r>
      <w:r>
        <w:rPr>
          <w:rFonts w:hint="eastAsia" w:ascii="Times New Roman" w:hAnsi="Times New Roman" w:eastAsia="宋体"/>
          <w:b/>
          <w:bCs/>
          <w:color w:val="auto"/>
          <w:sz w:val="24"/>
          <w:highlight w:val="none"/>
        </w:rPr>
        <w:t>报名时需上传下列加盖单位公章的扫描件（如资料不全，</w:t>
      </w:r>
      <w:r>
        <w:rPr>
          <w:rFonts w:hint="eastAsia" w:ascii="Times New Roman" w:hAnsi="Times New Roman"/>
          <w:b/>
          <w:bCs/>
          <w:color w:val="auto"/>
          <w:sz w:val="24"/>
          <w:highlight w:val="none"/>
          <w:lang w:val="en-US" w:eastAsia="zh-CN"/>
        </w:rPr>
        <w:t>采购人将</w:t>
      </w:r>
      <w:r>
        <w:rPr>
          <w:rFonts w:hint="eastAsia" w:ascii="Times New Roman" w:hAnsi="Times New Roman" w:eastAsia="宋体"/>
          <w:b/>
          <w:bCs/>
          <w:color w:val="auto"/>
          <w:sz w:val="24"/>
          <w:highlight w:val="none"/>
        </w:rPr>
        <w:t>拒绝接收）：</w:t>
      </w:r>
    </w:p>
    <w:p w14:paraId="57F73292">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60" w:leftChars="0" w:firstLine="480" w:firstLineChars="200"/>
        <w:jc w:val="both"/>
        <w:textAlignment w:val="auto"/>
        <w:rPr>
          <w:rFonts w:hint="eastAsia" w:ascii="Times New Roman" w:hAnsi="Times New Roman" w:eastAsia="宋体"/>
          <w:color w:val="auto"/>
          <w:sz w:val="24"/>
          <w:highlight w:val="none"/>
        </w:rPr>
      </w:pPr>
      <w:r>
        <w:rPr>
          <w:rFonts w:hint="eastAsia" w:ascii="Times New Roman" w:hAnsi="Times New Roman" w:eastAsia="宋体"/>
          <w:color w:val="auto"/>
          <w:sz w:val="24"/>
          <w:highlight w:val="none"/>
        </w:rPr>
        <w:t>法定代表人授权委托书（授权人本人办理相关事宜，授权书中必须明确</w:t>
      </w:r>
      <w:r>
        <w:rPr>
          <w:rFonts w:hint="eastAsia" w:ascii="Times New Roman" w:hAnsi="Times New Roman"/>
          <w:color w:val="auto"/>
          <w:sz w:val="24"/>
          <w:highlight w:val="none"/>
          <w:lang w:val="en-US" w:eastAsia="zh-CN"/>
        </w:rPr>
        <w:t>项目</w:t>
      </w:r>
      <w:r>
        <w:rPr>
          <w:rFonts w:hint="eastAsia" w:ascii="Times New Roman" w:hAnsi="Times New Roman" w:eastAsia="宋体"/>
          <w:color w:val="auto"/>
          <w:sz w:val="24"/>
          <w:highlight w:val="none"/>
        </w:rPr>
        <w:t>名称、标段号、</w:t>
      </w:r>
      <w:r>
        <w:rPr>
          <w:rFonts w:hint="eastAsia" w:ascii="Times New Roman" w:hAnsi="Times New Roman" w:eastAsia="宋体"/>
          <w:color w:val="auto"/>
          <w:sz w:val="24"/>
          <w:highlight w:val="none"/>
          <w:lang w:val="en-US" w:eastAsia="zh-CN"/>
        </w:rPr>
        <w:t>并附</w:t>
      </w:r>
      <w:r>
        <w:rPr>
          <w:rFonts w:hint="eastAsia" w:ascii="Times New Roman" w:hAnsi="Times New Roman" w:eastAsia="宋体"/>
          <w:color w:val="auto"/>
          <w:sz w:val="24"/>
          <w:highlight w:val="none"/>
        </w:rPr>
        <w:t>授权人</w:t>
      </w:r>
      <w:r>
        <w:rPr>
          <w:rFonts w:hint="eastAsia" w:ascii="Times New Roman" w:hAnsi="Times New Roman" w:eastAsia="宋体"/>
          <w:color w:val="auto"/>
          <w:sz w:val="24"/>
          <w:highlight w:val="none"/>
          <w:lang w:eastAsia="zh-CN"/>
        </w:rPr>
        <w:t>、</w:t>
      </w:r>
      <w:r>
        <w:rPr>
          <w:rFonts w:hint="eastAsia" w:ascii="Times New Roman" w:hAnsi="Times New Roman" w:eastAsia="宋体"/>
          <w:color w:val="auto"/>
          <w:sz w:val="24"/>
          <w:highlight w:val="none"/>
        </w:rPr>
        <w:t>被授权人的身份证及</w:t>
      </w:r>
      <w:r>
        <w:rPr>
          <w:rFonts w:hint="eastAsia" w:ascii="Times New Roman" w:hAnsi="Times New Roman" w:eastAsia="宋体"/>
          <w:color w:val="auto"/>
          <w:sz w:val="24"/>
          <w:highlight w:val="none"/>
          <w:lang w:val="en-US" w:eastAsia="zh-CN"/>
        </w:rPr>
        <w:t>被授权人联系方式</w:t>
      </w:r>
      <w:r>
        <w:rPr>
          <w:rFonts w:hint="eastAsia" w:ascii="Times New Roman" w:hAnsi="Times New Roman" w:eastAsia="宋体"/>
          <w:color w:val="auto"/>
          <w:sz w:val="24"/>
          <w:highlight w:val="none"/>
        </w:rPr>
        <w:t>）；</w:t>
      </w:r>
      <w:r>
        <w:rPr>
          <w:rFonts w:hint="eastAsia" w:ascii="宋体" w:hAnsi="宋体"/>
          <w:color w:val="auto"/>
          <w:sz w:val="24"/>
          <w:szCs w:val="24"/>
          <w:highlight w:val="none"/>
          <w:lang w:val="en-US" w:eastAsia="zh-CN"/>
        </w:rPr>
        <w:t>（</w:t>
      </w:r>
      <w:r>
        <w:rPr>
          <w:rFonts w:hint="eastAsia" w:ascii="宋体" w:hAnsi="宋体" w:eastAsia="宋体"/>
          <w:color w:val="auto"/>
          <w:sz w:val="24"/>
          <w:szCs w:val="24"/>
          <w:highlight w:val="none"/>
          <w:lang w:val="en-US" w:eastAsia="zh-CN"/>
        </w:rPr>
        <w:t>格式详见附件2</w:t>
      </w:r>
      <w:r>
        <w:rPr>
          <w:rFonts w:hint="eastAsia" w:ascii="宋体" w:hAnsi="宋体"/>
          <w:color w:val="auto"/>
          <w:sz w:val="24"/>
          <w:szCs w:val="24"/>
          <w:highlight w:val="none"/>
          <w:lang w:val="en-US" w:eastAsia="zh-CN"/>
        </w:rPr>
        <w:t>）</w:t>
      </w:r>
    </w:p>
    <w:p w14:paraId="07C08EAC">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0"/>
        <w:jc w:val="both"/>
        <w:textAlignment w:val="auto"/>
        <w:rPr>
          <w:rFonts w:hint="eastAsia" w:ascii="Times New Roman" w:hAnsi="Times New Roman" w:eastAsia="宋体"/>
          <w:color w:val="auto"/>
          <w:sz w:val="24"/>
          <w:highlight w:val="none"/>
          <w:lang w:val="en-US" w:eastAsia="zh-CN"/>
        </w:rPr>
      </w:pPr>
      <w:r>
        <w:rPr>
          <w:rFonts w:hint="eastAsia" w:ascii="Times New Roman" w:hAnsi="Times New Roman" w:eastAsia="宋体"/>
          <w:color w:val="auto"/>
          <w:sz w:val="24"/>
          <w:highlight w:val="none"/>
          <w:lang w:val="en-US" w:eastAsia="zh-CN"/>
        </w:rPr>
        <w:t>统一社会信用代码的营业执照扫描件；</w:t>
      </w:r>
    </w:p>
    <w:p w14:paraId="72E161DB">
      <w:pPr>
        <w:keepNext w:val="0"/>
        <w:keepLines w:val="0"/>
        <w:pageBreakBefore w:val="0"/>
        <w:widowControl w:val="0"/>
        <w:numPr>
          <w:ilvl w:val="0"/>
          <w:numId w:val="4"/>
        </w:numPr>
        <w:kinsoku/>
        <w:wordWrap/>
        <w:overflowPunct/>
        <w:topLinePunct w:val="0"/>
        <w:autoSpaceDE/>
        <w:autoSpaceDN/>
        <w:bidi w:val="0"/>
        <w:adjustRightInd/>
        <w:snapToGrid/>
        <w:spacing w:before="240" w:line="360" w:lineRule="auto"/>
        <w:ind w:left="60" w:leftChars="0" w:firstLine="482" w:firstLineChars="200"/>
        <w:contextualSpacing/>
        <w:textAlignment w:val="auto"/>
        <w:rPr>
          <w:rFonts w:hint="eastAsia" w:ascii="Times New Roman" w:hAnsi="Times New Roman" w:eastAsia="宋体"/>
          <w:b/>
          <w:bCs/>
          <w:color w:val="auto"/>
          <w:sz w:val="24"/>
          <w:highlight w:val="none"/>
        </w:rPr>
      </w:pPr>
      <w:r>
        <w:rPr>
          <w:rFonts w:hint="eastAsia" w:ascii="Times New Roman" w:hAnsi="Times New Roman" w:eastAsia="宋体"/>
          <w:b/>
          <w:bCs/>
          <w:color w:val="auto"/>
          <w:sz w:val="24"/>
          <w:highlight w:val="none"/>
        </w:rPr>
        <w:t>公告中专用资格要求的内容；</w:t>
      </w:r>
    </w:p>
    <w:p w14:paraId="14FA4414">
      <w:pPr>
        <w:keepNext w:val="0"/>
        <w:keepLines w:val="0"/>
        <w:pageBreakBefore w:val="0"/>
        <w:widowControl w:val="0"/>
        <w:numPr>
          <w:ilvl w:val="0"/>
          <w:numId w:val="4"/>
        </w:numPr>
        <w:kinsoku/>
        <w:wordWrap/>
        <w:overflowPunct/>
        <w:topLinePunct w:val="0"/>
        <w:autoSpaceDE/>
        <w:autoSpaceDN/>
        <w:bidi w:val="0"/>
        <w:adjustRightInd/>
        <w:snapToGrid/>
        <w:spacing w:before="240" w:line="360" w:lineRule="auto"/>
        <w:ind w:left="60" w:leftChars="0" w:firstLine="480" w:firstLineChars="200"/>
        <w:contextualSpacing/>
        <w:textAlignment w:val="auto"/>
        <w:rPr>
          <w:rFonts w:hint="eastAsia" w:ascii="Times New Roman" w:hAnsi="Times New Roman" w:eastAsia="宋体"/>
          <w:color w:val="auto"/>
          <w:sz w:val="24"/>
          <w:highlight w:val="none"/>
        </w:rPr>
      </w:pPr>
      <w:r>
        <w:rPr>
          <w:rFonts w:hint="eastAsia" w:ascii="Times New Roman" w:hAnsi="Times New Roman" w:eastAsia="宋体"/>
          <w:color w:val="auto"/>
          <w:sz w:val="24"/>
          <w:highlight w:val="none"/>
        </w:rPr>
        <w:t>企业名称如有变更，需提供有关行政机关提供的变更证明；</w:t>
      </w:r>
      <w:bookmarkStart w:id="41" w:name="page10"/>
      <w:bookmarkEnd w:id="41"/>
    </w:p>
    <w:p w14:paraId="3F0A1211">
      <w:pPr>
        <w:keepNext w:val="0"/>
        <w:keepLines w:val="0"/>
        <w:pageBreakBefore w:val="0"/>
        <w:widowControl w:val="0"/>
        <w:numPr>
          <w:ilvl w:val="0"/>
          <w:numId w:val="4"/>
        </w:numPr>
        <w:kinsoku/>
        <w:wordWrap/>
        <w:overflowPunct/>
        <w:topLinePunct w:val="0"/>
        <w:autoSpaceDE/>
        <w:autoSpaceDN/>
        <w:bidi w:val="0"/>
        <w:adjustRightInd/>
        <w:snapToGrid/>
        <w:spacing w:before="240" w:line="360" w:lineRule="auto"/>
        <w:ind w:left="60" w:leftChars="0" w:firstLine="480" w:firstLineChars="200"/>
        <w:contextualSpacing/>
        <w:textAlignment w:val="auto"/>
        <w:rPr>
          <w:rFonts w:hint="eastAsia" w:ascii="Times New Roman" w:hAnsi="Times New Roman" w:eastAsia="宋体"/>
          <w:color w:val="auto"/>
          <w:sz w:val="24"/>
          <w:szCs w:val="24"/>
          <w:highlight w:val="none"/>
          <w:lang w:val="en-US" w:eastAsia="zh-CN"/>
        </w:rPr>
      </w:pPr>
      <w:r>
        <w:rPr>
          <w:rFonts w:hint="eastAsia" w:ascii="Times New Roman" w:hAnsi="Times New Roman" w:eastAsia="宋体"/>
          <w:color w:val="auto"/>
          <w:sz w:val="24"/>
          <w:szCs w:val="24"/>
          <w:highlight w:val="none"/>
        </w:rPr>
        <w:t>供应商需提供在国家企业信用</w:t>
      </w:r>
      <w:r>
        <w:rPr>
          <w:rFonts w:hint="eastAsia" w:ascii="Times New Roman" w:hAnsi="Times New Roman" w:eastAsia="宋体"/>
          <w:color w:val="auto"/>
          <w:sz w:val="24"/>
          <w:szCs w:val="24"/>
          <w:highlight w:val="none"/>
          <w:lang w:val="en-US" w:eastAsia="zh-CN"/>
        </w:rPr>
        <w:t>信息</w:t>
      </w:r>
      <w:r>
        <w:rPr>
          <w:rFonts w:hint="eastAsia" w:ascii="Times New Roman" w:hAnsi="Times New Roman" w:eastAsia="宋体"/>
          <w:color w:val="auto"/>
          <w:sz w:val="24"/>
          <w:szCs w:val="24"/>
          <w:highlight w:val="none"/>
        </w:rPr>
        <w:t>公示系统（www.gsxt.gov.cn）查询的“严重违法失信企业名单”信息的查询结果截图。</w:t>
      </w:r>
      <w:r>
        <w:rPr>
          <w:rFonts w:hint="eastAsia" w:ascii="Times New Roman" w:hAnsi="Times New Roman"/>
          <w:color w:val="auto"/>
          <w:sz w:val="24"/>
          <w:szCs w:val="24"/>
          <w:highlight w:val="none"/>
          <w:lang w:eastAsia="zh-CN"/>
        </w:rPr>
        <w:t>（</w:t>
      </w:r>
      <w:r>
        <w:rPr>
          <w:rFonts w:hint="eastAsia" w:ascii="Times New Roman" w:hAnsi="Times New Roman" w:eastAsia="宋体"/>
          <w:color w:val="auto"/>
          <w:sz w:val="24"/>
          <w:szCs w:val="24"/>
          <w:highlight w:val="none"/>
          <w:lang w:val="en-US" w:eastAsia="zh-CN"/>
        </w:rPr>
        <w:t>详见附件</w:t>
      </w:r>
      <w:r>
        <w:rPr>
          <w:rFonts w:hint="eastAsia" w:eastAsia="宋体"/>
          <w:color w:val="auto"/>
          <w:sz w:val="24"/>
          <w:szCs w:val="24"/>
          <w:highlight w:val="none"/>
          <w:lang w:val="en-US" w:eastAsia="zh-CN"/>
        </w:rPr>
        <w:t>2</w:t>
      </w:r>
      <w:r>
        <w:rPr>
          <w:rFonts w:hint="eastAsia" w:ascii="Times New Roman" w:hAnsi="Times New Roman"/>
          <w:color w:val="auto"/>
          <w:sz w:val="24"/>
          <w:szCs w:val="24"/>
          <w:highlight w:val="none"/>
          <w:lang w:val="en-US" w:eastAsia="zh-CN"/>
        </w:rPr>
        <w:t>）</w:t>
      </w:r>
      <w:r>
        <w:rPr>
          <w:rFonts w:hint="eastAsia" w:ascii="Times New Roman" w:hAnsi="Times New Roman" w:eastAsia="宋体"/>
          <w:color w:val="auto"/>
          <w:sz w:val="24"/>
          <w:szCs w:val="24"/>
          <w:highlight w:val="none"/>
          <w:lang w:val="en-US" w:eastAsia="zh-CN"/>
        </w:rPr>
        <w:t xml:space="preserve">                                                  </w:t>
      </w:r>
    </w:p>
    <w:p w14:paraId="2F4F710A">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60" w:leftChars="0" w:firstLine="480" w:firstLineChars="200"/>
        <w:contextualSpacing/>
        <w:jc w:val="left"/>
        <w:textAlignment w:val="auto"/>
        <w:rPr>
          <w:rFonts w:hint="eastAsia" w:ascii="Times New Roman" w:hAnsi="Times New Roman" w:eastAsia="宋体"/>
          <w:color w:val="auto"/>
          <w:sz w:val="24"/>
          <w:szCs w:val="24"/>
          <w:highlight w:val="none"/>
        </w:rPr>
      </w:pPr>
      <w:r>
        <w:rPr>
          <w:rFonts w:hint="eastAsia" w:ascii="Times New Roman" w:hAnsi="Times New Roman" w:eastAsia="宋体"/>
          <w:color w:val="auto"/>
          <w:sz w:val="24"/>
          <w:szCs w:val="24"/>
          <w:highlight w:val="none"/>
        </w:rPr>
        <w:t>供应商及其法定代表人近三年内在中国裁判文书（wenshu.court.gov.cn）无行贿犯罪档案的查询结果截图。</w:t>
      </w:r>
      <w:r>
        <w:rPr>
          <w:rFonts w:hint="eastAsia" w:ascii="Times New Roman" w:hAnsi="Times New Roman"/>
          <w:color w:val="auto"/>
          <w:sz w:val="24"/>
          <w:szCs w:val="24"/>
          <w:highlight w:val="none"/>
          <w:lang w:eastAsia="zh-CN"/>
        </w:rPr>
        <w:t>（</w:t>
      </w:r>
      <w:r>
        <w:rPr>
          <w:rFonts w:hint="eastAsia" w:ascii="Times New Roman" w:hAnsi="Times New Roman" w:eastAsia="宋体"/>
          <w:color w:val="auto"/>
          <w:sz w:val="24"/>
          <w:szCs w:val="24"/>
          <w:highlight w:val="none"/>
          <w:lang w:val="en-US" w:eastAsia="zh-CN"/>
        </w:rPr>
        <w:t>详见附件</w:t>
      </w:r>
      <w:r>
        <w:rPr>
          <w:rFonts w:hint="eastAsia" w:eastAsia="宋体"/>
          <w:color w:val="auto"/>
          <w:sz w:val="24"/>
          <w:szCs w:val="24"/>
          <w:highlight w:val="none"/>
          <w:lang w:val="en-US" w:eastAsia="zh-CN"/>
        </w:rPr>
        <w:t>2</w:t>
      </w:r>
      <w:r>
        <w:rPr>
          <w:rFonts w:hint="eastAsia" w:ascii="Times New Roman" w:hAnsi="Times New Roman"/>
          <w:color w:val="auto"/>
          <w:sz w:val="24"/>
          <w:szCs w:val="24"/>
          <w:highlight w:val="none"/>
          <w:lang w:val="en-US" w:eastAsia="zh-CN"/>
        </w:rPr>
        <w:t>）</w:t>
      </w:r>
    </w:p>
    <w:p w14:paraId="25C521AA">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60" w:leftChars="0" w:firstLine="480" w:firstLineChars="200"/>
        <w:contextualSpacing/>
        <w:textAlignment w:val="auto"/>
        <w:rPr>
          <w:rFonts w:hint="eastAsia" w:ascii="Times New Roman" w:hAnsi="Times New Roman" w:eastAsia="宋体"/>
          <w:color w:val="auto"/>
          <w:sz w:val="24"/>
          <w:szCs w:val="24"/>
          <w:highlight w:val="none"/>
        </w:rPr>
      </w:pPr>
      <w:r>
        <w:rPr>
          <w:rFonts w:hint="eastAsia" w:ascii="Times New Roman" w:hAnsi="Times New Roman"/>
          <w:color w:val="auto"/>
          <w:sz w:val="24"/>
          <w:szCs w:val="24"/>
          <w:highlight w:val="none"/>
          <w:lang w:eastAsia="zh-CN"/>
        </w:rPr>
        <w:t>供应商</w:t>
      </w:r>
      <w:r>
        <w:rPr>
          <w:rFonts w:hint="eastAsia" w:ascii="Times New Roman" w:hAnsi="Times New Roman" w:eastAsia="宋体"/>
          <w:color w:val="auto"/>
          <w:sz w:val="24"/>
          <w:szCs w:val="24"/>
          <w:highlight w:val="none"/>
        </w:rPr>
        <w:t>需提供</w:t>
      </w:r>
      <w:r>
        <w:rPr>
          <w:rFonts w:hint="eastAsia" w:ascii="Times New Roman" w:hAnsi="Times New Roman"/>
          <w:color w:val="auto"/>
          <w:sz w:val="24"/>
          <w:szCs w:val="24"/>
          <w:highlight w:val="none"/>
          <w:lang w:eastAsia="zh-CN"/>
        </w:rPr>
        <w:t>供应商</w:t>
      </w:r>
      <w:r>
        <w:rPr>
          <w:rFonts w:hint="eastAsia" w:ascii="Times New Roman" w:hAnsi="Times New Roman" w:eastAsia="宋体"/>
          <w:color w:val="auto"/>
          <w:sz w:val="24"/>
          <w:szCs w:val="24"/>
          <w:highlight w:val="none"/>
        </w:rPr>
        <w:t>在“信用中国”网站（www.creditchina.gov.cn）或各级信用信息共享平台中列入失信被执行人名单信息的查询结果截图</w:t>
      </w:r>
      <w:r>
        <w:rPr>
          <w:rFonts w:hint="eastAsia" w:ascii="Times New Roman" w:hAnsi="Times New Roman"/>
          <w:color w:val="auto"/>
          <w:sz w:val="24"/>
          <w:szCs w:val="24"/>
          <w:highlight w:val="none"/>
          <w:lang w:eastAsia="zh-CN"/>
        </w:rPr>
        <w:t>。</w:t>
      </w:r>
      <w:r>
        <w:rPr>
          <w:rFonts w:hint="eastAsia" w:ascii="Times New Roman" w:hAnsi="Times New Roman" w:eastAsia="宋体"/>
          <w:color w:val="auto"/>
          <w:sz w:val="24"/>
          <w:szCs w:val="24"/>
          <w:highlight w:val="none"/>
          <w:lang w:val="en-US" w:eastAsia="zh-CN"/>
        </w:rPr>
        <w:t>（详见附件</w:t>
      </w:r>
      <w:r>
        <w:rPr>
          <w:rFonts w:hint="eastAsia" w:eastAsia="宋体"/>
          <w:color w:val="auto"/>
          <w:sz w:val="24"/>
          <w:szCs w:val="24"/>
          <w:highlight w:val="none"/>
          <w:lang w:val="en-US" w:eastAsia="zh-CN"/>
        </w:rPr>
        <w:t>2</w:t>
      </w:r>
      <w:r>
        <w:rPr>
          <w:rFonts w:hint="eastAsia" w:ascii="Times New Roman" w:hAnsi="Times New Roman" w:eastAsia="宋体"/>
          <w:color w:val="auto"/>
          <w:sz w:val="24"/>
          <w:szCs w:val="24"/>
          <w:highlight w:val="none"/>
          <w:lang w:val="en-US" w:eastAsia="zh-CN"/>
        </w:rPr>
        <w:t>）</w:t>
      </w:r>
    </w:p>
    <w:p w14:paraId="522DDEC0">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60" w:leftChars="0" w:firstLine="480" w:firstLineChars="200"/>
        <w:jc w:val="both"/>
        <w:textAlignment w:val="auto"/>
        <w:rPr>
          <w:rFonts w:hint="default"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提供《</w:t>
      </w:r>
      <w:r>
        <w:rPr>
          <w:rFonts w:hint="eastAsia" w:ascii="宋体" w:hAnsi="宋体"/>
          <w:color w:val="auto"/>
          <w:sz w:val="24"/>
          <w:szCs w:val="24"/>
          <w:highlight w:val="none"/>
          <w:lang w:val="en-US" w:eastAsia="zh-CN"/>
        </w:rPr>
        <w:t>响应</w:t>
      </w:r>
      <w:r>
        <w:rPr>
          <w:rFonts w:hint="eastAsia" w:ascii="宋体" w:hAnsi="宋体" w:eastAsia="宋体"/>
          <w:color w:val="auto"/>
          <w:sz w:val="24"/>
          <w:szCs w:val="24"/>
          <w:highlight w:val="none"/>
          <w:lang w:val="en-US" w:eastAsia="zh-CN"/>
        </w:rPr>
        <w:t>真实性承诺书》</w:t>
      </w:r>
      <w:r>
        <w:rPr>
          <w:rFonts w:hint="eastAsia" w:ascii="宋体" w:hAnsi="宋体"/>
          <w:color w:val="auto"/>
          <w:sz w:val="24"/>
          <w:szCs w:val="24"/>
          <w:highlight w:val="none"/>
          <w:lang w:val="en-US" w:eastAsia="zh-CN"/>
        </w:rPr>
        <w:t>。（</w:t>
      </w:r>
      <w:r>
        <w:rPr>
          <w:rFonts w:hint="eastAsia" w:ascii="宋体" w:hAnsi="宋体" w:eastAsia="宋体"/>
          <w:color w:val="auto"/>
          <w:sz w:val="24"/>
          <w:szCs w:val="24"/>
          <w:highlight w:val="none"/>
          <w:lang w:val="en-US" w:eastAsia="zh-CN"/>
        </w:rPr>
        <w:t>详见附件2</w:t>
      </w:r>
      <w:r>
        <w:rPr>
          <w:rFonts w:hint="eastAsia" w:ascii="宋体" w:hAnsi="宋体"/>
          <w:color w:val="auto"/>
          <w:sz w:val="24"/>
          <w:szCs w:val="24"/>
          <w:highlight w:val="none"/>
          <w:lang w:val="en-US" w:eastAsia="zh-CN"/>
        </w:rPr>
        <w:t>）</w:t>
      </w:r>
    </w:p>
    <w:p w14:paraId="2AEFA57F">
      <w:pPr>
        <w:pageBreakBefore w:val="0"/>
        <w:kinsoku/>
        <w:overflowPunct/>
        <w:topLinePunct w:val="0"/>
        <w:bidi w:val="0"/>
        <w:spacing w:before="240" w:line="360" w:lineRule="auto"/>
        <w:ind w:firstLine="482" w:firstLineChars="200"/>
        <w:contextualSpacing/>
        <w:textAlignment w:val="auto"/>
        <w:rPr>
          <w:rFonts w:hint="eastAsia" w:ascii="Times New Roman" w:hAnsi="Times New Roman"/>
          <w:b/>
          <w:bCs/>
          <w:color w:val="auto"/>
          <w:sz w:val="24"/>
          <w:highlight w:val="none"/>
          <w:lang w:val="en-US" w:eastAsia="zh-CN"/>
        </w:rPr>
      </w:pPr>
      <w:r>
        <w:rPr>
          <w:rFonts w:hint="eastAsia" w:ascii="Times New Roman" w:hAnsi="Times New Roman"/>
          <w:b/>
          <w:bCs/>
          <w:color w:val="auto"/>
          <w:sz w:val="24"/>
          <w:highlight w:val="none"/>
          <w:lang w:val="en-US" w:eastAsia="zh-CN"/>
        </w:rPr>
        <w:t>6.说明</w:t>
      </w:r>
    </w:p>
    <w:p w14:paraId="54AB1D10">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0"/>
        <w:jc w:val="both"/>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报名资料如无法查真，需由供应商提供有效查询路径。</w:t>
      </w:r>
    </w:p>
    <w:p w14:paraId="48869DB9">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0"/>
        <w:jc w:val="both"/>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在报名阶段，对供应商资质、业绩等资格要求进行严格的真实性核查；经核实存在资格证明材料造假或信息不实的，采购人将</w:t>
      </w:r>
      <w:r>
        <w:rPr>
          <w:rFonts w:hint="eastAsia" w:ascii="宋体" w:hAnsi="宋体"/>
          <w:color w:val="auto"/>
          <w:sz w:val="24"/>
          <w:szCs w:val="24"/>
          <w:highlight w:val="none"/>
          <w:lang w:val="en-US" w:eastAsia="zh-CN"/>
        </w:rPr>
        <w:t>按</w:t>
      </w:r>
      <w:r>
        <w:rPr>
          <w:rFonts w:hint="eastAsia" w:ascii="宋体" w:hAnsi="宋体" w:eastAsia="宋体"/>
          <w:color w:val="auto"/>
          <w:sz w:val="24"/>
          <w:szCs w:val="24"/>
          <w:highlight w:val="none"/>
          <w:lang w:val="en-US" w:eastAsia="zh-CN"/>
        </w:rPr>
        <w:t>照公司《物资供应商不良行为管理办法》的规定进行处罚。</w:t>
      </w:r>
    </w:p>
    <w:p w14:paraId="69AE5022">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0"/>
        <w:jc w:val="both"/>
        <w:textAlignment w:val="auto"/>
        <w:rPr>
          <w:rFonts w:hint="eastAsia" w:ascii="宋体" w:hAnsi="宋体" w:eastAsia="宋体"/>
          <w:color w:val="auto"/>
          <w:sz w:val="24"/>
          <w:szCs w:val="24"/>
          <w:highlight w:val="none"/>
          <w:lang w:val="zh-CN" w:eastAsia="zh-CN"/>
        </w:rPr>
      </w:pPr>
      <w:r>
        <w:rPr>
          <w:rFonts w:hint="eastAsia" w:ascii="宋体" w:hAnsi="宋体" w:eastAsia="宋体"/>
          <w:color w:val="auto"/>
          <w:sz w:val="24"/>
          <w:szCs w:val="24"/>
          <w:highlight w:val="none"/>
          <w:lang w:val="zh-CN" w:eastAsia="zh-CN"/>
        </w:rPr>
        <w:t>供应商提供的报名资料需按照公告要求顺序排列，加盖公章后整体扫描为</w:t>
      </w:r>
      <w:r>
        <w:rPr>
          <w:rFonts w:hint="eastAsia" w:ascii="宋体" w:hAnsi="宋体" w:eastAsia="宋体"/>
          <w:b/>
          <w:bCs/>
          <w:color w:val="auto"/>
          <w:sz w:val="24"/>
          <w:szCs w:val="24"/>
          <w:highlight w:val="none"/>
          <w:lang w:val="zh-CN" w:eastAsia="zh-CN"/>
        </w:rPr>
        <w:t>pdf格式</w:t>
      </w:r>
      <w:r>
        <w:rPr>
          <w:rFonts w:hint="eastAsia" w:ascii="宋体" w:hAnsi="宋体" w:eastAsia="宋体"/>
          <w:color w:val="auto"/>
          <w:sz w:val="24"/>
          <w:szCs w:val="24"/>
          <w:highlight w:val="none"/>
          <w:lang w:val="zh-CN" w:eastAsia="zh-CN"/>
        </w:rPr>
        <w:t>上传，不接受doc、图片形式的报名资料，未按上述要求提交的报名资料一律退回。</w:t>
      </w:r>
    </w:p>
    <w:p w14:paraId="0D529B96">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0"/>
        <w:jc w:val="both"/>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zh-CN" w:eastAsia="zh-CN"/>
        </w:rPr>
        <w:t>为保证</w:t>
      </w:r>
      <w:r>
        <w:rPr>
          <w:rFonts w:hint="eastAsia" w:ascii="宋体" w:hAnsi="宋体" w:eastAsia="宋体"/>
          <w:color w:val="auto"/>
          <w:sz w:val="24"/>
          <w:szCs w:val="24"/>
          <w:highlight w:val="none"/>
          <w:lang w:val="en-US" w:eastAsia="zh-CN"/>
        </w:rPr>
        <w:t>供应商</w:t>
      </w:r>
      <w:r>
        <w:rPr>
          <w:rFonts w:hint="eastAsia" w:ascii="宋体" w:hAnsi="宋体" w:eastAsia="宋体"/>
          <w:color w:val="auto"/>
          <w:sz w:val="24"/>
          <w:szCs w:val="24"/>
          <w:highlight w:val="none"/>
          <w:lang w:val="zh-CN" w:eastAsia="zh-CN"/>
        </w:rPr>
        <w:t>顺利报名成功，请</w:t>
      </w:r>
      <w:r>
        <w:rPr>
          <w:rFonts w:hint="eastAsia" w:ascii="宋体" w:hAnsi="宋体" w:eastAsia="宋体"/>
          <w:color w:val="auto"/>
          <w:sz w:val="24"/>
          <w:szCs w:val="24"/>
          <w:highlight w:val="none"/>
          <w:lang w:val="en-US" w:eastAsia="zh-CN"/>
        </w:rPr>
        <w:t>供应商</w:t>
      </w:r>
      <w:r>
        <w:rPr>
          <w:rFonts w:hint="eastAsia" w:ascii="宋体" w:hAnsi="宋体" w:eastAsia="宋体"/>
          <w:color w:val="auto"/>
          <w:sz w:val="24"/>
          <w:szCs w:val="24"/>
          <w:highlight w:val="none"/>
          <w:lang w:val="zh-CN" w:eastAsia="zh-CN"/>
        </w:rPr>
        <w:t>在报名截止时间前一个小时上传报名资料，如因</w:t>
      </w:r>
      <w:r>
        <w:rPr>
          <w:rFonts w:hint="eastAsia" w:ascii="宋体" w:hAnsi="宋体" w:eastAsia="宋体"/>
          <w:color w:val="auto"/>
          <w:sz w:val="24"/>
          <w:szCs w:val="24"/>
          <w:highlight w:val="none"/>
          <w:lang w:val="en-US" w:eastAsia="zh-CN"/>
        </w:rPr>
        <w:t>供应商</w:t>
      </w:r>
      <w:r>
        <w:rPr>
          <w:rFonts w:hint="eastAsia" w:ascii="宋体" w:hAnsi="宋体" w:eastAsia="宋体"/>
          <w:color w:val="auto"/>
          <w:sz w:val="24"/>
          <w:szCs w:val="24"/>
          <w:highlight w:val="none"/>
          <w:lang w:val="zh-CN" w:eastAsia="zh-CN"/>
        </w:rPr>
        <w:t>上传报名资料距报名截止时间不足一小时，且资料审核未通过后未能及时上传更正报名资料，导致报名不成功其后果由</w:t>
      </w:r>
      <w:r>
        <w:rPr>
          <w:rFonts w:hint="eastAsia" w:ascii="宋体" w:hAnsi="宋体" w:eastAsia="宋体"/>
          <w:color w:val="auto"/>
          <w:sz w:val="24"/>
          <w:szCs w:val="24"/>
          <w:highlight w:val="none"/>
          <w:lang w:val="en-US" w:eastAsia="zh-CN"/>
        </w:rPr>
        <w:t>供应商</w:t>
      </w:r>
      <w:r>
        <w:rPr>
          <w:rFonts w:hint="eastAsia" w:ascii="宋体" w:hAnsi="宋体" w:eastAsia="宋体"/>
          <w:color w:val="auto"/>
          <w:sz w:val="24"/>
          <w:szCs w:val="24"/>
          <w:highlight w:val="none"/>
          <w:lang w:val="zh-CN" w:eastAsia="zh-CN"/>
        </w:rPr>
        <w:t>自行承担。</w:t>
      </w:r>
    </w:p>
    <w:p w14:paraId="102697E1">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b/>
          <w:color w:val="auto"/>
          <w:sz w:val="28"/>
          <w:szCs w:val="28"/>
          <w:highlight w:val="none"/>
          <w:lang w:val="en-US" w:eastAsia="zh-CN"/>
        </w:rPr>
      </w:pPr>
      <w:bookmarkStart w:id="42" w:name="_Toc8051"/>
      <w:bookmarkStart w:id="43" w:name="_Toc23868"/>
      <w:bookmarkStart w:id="44" w:name="_Toc27302"/>
      <w:r>
        <w:rPr>
          <w:rFonts w:hint="eastAsia" w:ascii="Times New Roman" w:hAnsi="Times New Roman" w:eastAsia="宋体"/>
          <w:b/>
          <w:color w:val="auto"/>
          <w:sz w:val="28"/>
          <w:szCs w:val="28"/>
          <w:highlight w:val="none"/>
          <w:lang w:val="en-US" w:eastAsia="zh-CN"/>
        </w:rPr>
        <w:t>响应文件递交方式</w:t>
      </w:r>
      <w:bookmarkEnd w:id="42"/>
      <w:bookmarkEnd w:id="43"/>
    </w:p>
    <w:p w14:paraId="483EAF0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b w:val="0"/>
          <w:bCs/>
          <w:color w:val="auto"/>
          <w:sz w:val="24"/>
          <w:szCs w:val="24"/>
          <w:highlight w:val="none"/>
          <w:lang w:val="en-US" w:eastAsia="zh-CN"/>
        </w:rPr>
      </w:pPr>
      <w:r>
        <w:rPr>
          <w:rFonts w:hint="eastAsia" w:ascii="Times New Roman" w:hAnsi="Times New Roman" w:eastAsia="宋体" w:cs="Times New Roman"/>
          <w:b w:val="0"/>
          <w:bCs/>
          <w:color w:val="auto"/>
          <w:kern w:val="2"/>
          <w:sz w:val="24"/>
          <w:szCs w:val="24"/>
          <w:highlight w:val="none"/>
          <w:lang w:val="en-US" w:eastAsia="zh-CN" w:bidi="ar-SA"/>
        </w:rPr>
        <w:t>1.递交截止时间：</w:t>
      </w:r>
      <w:r>
        <w:rPr>
          <w:rFonts w:hint="eastAsia" w:ascii="宋体" w:hAnsi="宋体"/>
          <w:b w:val="0"/>
          <w:bCs/>
          <w:color w:val="auto"/>
          <w:sz w:val="24"/>
          <w:szCs w:val="24"/>
          <w:highlight w:val="none"/>
          <w:lang w:val="en-US" w:eastAsia="zh-CN"/>
        </w:rPr>
        <w:t>2024年</w:t>
      </w:r>
      <w:r>
        <w:rPr>
          <w:rFonts w:hint="eastAsia" w:ascii="宋体" w:hAnsi="宋体" w:eastAsia="宋体"/>
          <w:b w:val="0"/>
          <w:bCs/>
          <w:color w:val="auto"/>
          <w:sz w:val="24"/>
          <w:szCs w:val="24"/>
          <w:highlight w:val="none"/>
          <w:lang w:val="en-US" w:eastAsia="zh-CN"/>
        </w:rPr>
        <w:t>8月30日9时30分(北京时间)。</w:t>
      </w:r>
    </w:p>
    <w:p w14:paraId="28E53BB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olor w:val="auto"/>
          <w:sz w:val="24"/>
          <w:szCs w:val="24"/>
          <w:highlight w:val="none"/>
          <w:lang w:val="en-US" w:eastAsia="zh-CN"/>
        </w:rPr>
      </w:pPr>
      <w:r>
        <w:rPr>
          <w:rFonts w:hint="eastAsia" w:ascii="宋体" w:hAnsi="宋体"/>
          <w:b w:val="0"/>
          <w:bCs/>
          <w:color w:val="auto"/>
          <w:sz w:val="24"/>
          <w:szCs w:val="24"/>
          <w:highlight w:val="none"/>
          <w:lang w:val="en-US" w:eastAsia="zh-CN"/>
        </w:rPr>
        <w:t>2.递交方式：</w:t>
      </w:r>
      <w:r>
        <w:rPr>
          <w:rFonts w:hint="eastAsia" w:ascii="宋体" w:hAnsi="宋体" w:eastAsia="宋体"/>
          <w:b w:val="0"/>
          <w:bCs/>
          <w:color w:val="auto"/>
          <w:sz w:val="24"/>
          <w:szCs w:val="24"/>
          <w:highlight w:val="none"/>
          <w:lang w:val="en-US" w:eastAsia="zh-CN"/>
        </w:rPr>
        <w:t>电子响应文件请于响应截止时间之前上传到“内蒙古电力集团电子采购系统”，响应截止时间后上传的响应文件恕不接收。本项目采用远程评审方式，不接收纸质响应</w:t>
      </w:r>
      <w:r>
        <w:rPr>
          <w:rFonts w:hint="eastAsia" w:ascii="宋体" w:hAnsi="宋体" w:eastAsia="宋体"/>
          <w:color w:val="auto"/>
          <w:sz w:val="24"/>
          <w:szCs w:val="24"/>
          <w:highlight w:val="none"/>
          <w:lang w:val="en-US" w:eastAsia="zh-CN"/>
        </w:rPr>
        <w:t>文件，逾期</w:t>
      </w:r>
      <w:r>
        <w:rPr>
          <w:rFonts w:hint="eastAsia" w:ascii="宋体" w:hAnsi="宋体"/>
          <w:color w:val="auto"/>
          <w:sz w:val="24"/>
          <w:szCs w:val="24"/>
          <w:highlight w:val="none"/>
          <w:lang w:val="en-US" w:eastAsia="zh-CN"/>
        </w:rPr>
        <w:t>上传</w:t>
      </w:r>
      <w:r>
        <w:rPr>
          <w:rFonts w:hint="eastAsia" w:ascii="宋体" w:hAnsi="宋体" w:eastAsia="宋体"/>
          <w:color w:val="auto"/>
          <w:sz w:val="24"/>
          <w:szCs w:val="24"/>
          <w:highlight w:val="none"/>
          <w:lang w:val="en-US" w:eastAsia="zh-CN"/>
        </w:rPr>
        <w:t>的响应文件，将不予接收。</w:t>
      </w:r>
    </w:p>
    <w:p w14:paraId="23F4DC1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Times New Roman" w:hAnsi="Times New Roman" w:eastAsia="宋体" w:cs="Times New Roman"/>
          <w:b/>
          <w:color w:val="auto"/>
          <w:sz w:val="28"/>
          <w:szCs w:val="28"/>
          <w:highlight w:val="none"/>
          <w:lang w:val="en-US" w:eastAsia="zh-CN"/>
        </w:rPr>
      </w:pPr>
      <w:r>
        <w:rPr>
          <w:rFonts w:hint="eastAsia" w:ascii="宋体" w:hAnsi="宋体"/>
          <w:color w:val="auto"/>
          <w:sz w:val="24"/>
          <w:szCs w:val="24"/>
          <w:highlight w:val="none"/>
          <w:lang w:val="en-US" w:eastAsia="zh-CN"/>
        </w:rPr>
        <w:t>3.</w:t>
      </w:r>
      <w:r>
        <w:rPr>
          <w:rFonts w:hint="eastAsia" w:ascii="宋体" w:hAnsi="宋体" w:eastAsia="宋体"/>
          <w:color w:val="auto"/>
          <w:sz w:val="24"/>
          <w:szCs w:val="24"/>
          <w:highlight w:val="none"/>
          <w:lang w:val="en-US" w:eastAsia="zh-CN"/>
        </w:rPr>
        <w:t>响应文件加密</w:t>
      </w:r>
      <w:r>
        <w:rPr>
          <w:rFonts w:hint="eastAsia" w:ascii="宋体" w:hAnsi="宋体"/>
          <w:color w:val="auto"/>
          <w:sz w:val="24"/>
          <w:szCs w:val="24"/>
          <w:highlight w:val="none"/>
          <w:lang w:val="en-US" w:eastAsia="zh-CN"/>
        </w:rPr>
        <w:t>：</w:t>
      </w:r>
      <w:r>
        <w:rPr>
          <w:rFonts w:hint="eastAsia" w:ascii="宋体" w:hAnsi="宋体" w:eastAsia="宋体"/>
          <w:color w:val="auto"/>
          <w:sz w:val="24"/>
          <w:szCs w:val="24"/>
          <w:highlight w:val="none"/>
          <w:lang w:val="en-US" w:eastAsia="zh-CN"/>
        </w:rPr>
        <w:t>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14:paraId="2552BE5A">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cs="Times New Roman"/>
          <w:b/>
          <w:color w:val="auto"/>
          <w:sz w:val="28"/>
          <w:szCs w:val="28"/>
          <w:highlight w:val="none"/>
          <w:lang w:val="en-US" w:eastAsia="zh-CN"/>
        </w:rPr>
      </w:pPr>
      <w:bookmarkStart w:id="45" w:name="_Toc21344"/>
      <w:bookmarkStart w:id="46" w:name="_Toc30741"/>
      <w:r>
        <w:rPr>
          <w:rFonts w:hint="eastAsia" w:ascii="Times New Roman" w:hAnsi="Times New Roman" w:eastAsia="宋体"/>
          <w:b/>
          <w:color w:val="auto"/>
          <w:sz w:val="28"/>
          <w:szCs w:val="28"/>
          <w:highlight w:val="none"/>
        </w:rPr>
        <w:t>递交响应文件的截止时间</w:t>
      </w:r>
      <w:bookmarkEnd w:id="44"/>
      <w:r>
        <w:rPr>
          <w:rFonts w:hint="eastAsia" w:ascii="Times New Roman" w:hAnsi="Times New Roman" w:eastAsia="宋体"/>
          <w:b/>
          <w:color w:val="auto"/>
          <w:sz w:val="28"/>
          <w:szCs w:val="28"/>
          <w:highlight w:val="none"/>
          <w:lang w:val="en-US" w:eastAsia="zh-CN"/>
        </w:rPr>
        <w:t>及解密时间</w:t>
      </w:r>
      <w:bookmarkEnd w:id="45"/>
      <w:bookmarkEnd w:id="46"/>
    </w:p>
    <w:bookmarkEnd w:id="0"/>
    <w:p w14:paraId="570D5A6A">
      <w:pPr>
        <w:pageBreakBefore w:val="0"/>
        <w:kinsoku/>
        <w:overflowPunct/>
        <w:topLinePunct w:val="0"/>
        <w:bidi w:val="0"/>
        <w:spacing w:before="240" w:line="360" w:lineRule="auto"/>
        <w:ind w:left="0" w:leftChars="0" w:firstLine="480" w:firstLineChars="200"/>
        <w:contextualSpacing/>
        <w:textAlignment w:val="auto"/>
        <w:rPr>
          <w:rFonts w:hint="eastAsia" w:ascii="Times New Roman" w:hAnsi="Times New Roman" w:eastAsia="宋体"/>
          <w:color w:val="auto"/>
          <w:sz w:val="24"/>
          <w:highlight w:val="none"/>
          <w:lang w:val="en-US" w:eastAsia="zh-CN"/>
        </w:rPr>
      </w:pPr>
      <w:r>
        <w:rPr>
          <w:rFonts w:hint="eastAsia" w:ascii="Times New Roman" w:hAnsi="Times New Roman" w:eastAsia="宋体"/>
          <w:color w:val="auto"/>
          <w:sz w:val="24"/>
          <w:highlight w:val="none"/>
        </w:rPr>
        <w:t>响应文件上传时间：</w:t>
      </w:r>
      <w:r>
        <w:rPr>
          <w:rFonts w:hint="eastAsia" w:eastAsia="宋体"/>
          <w:color w:val="auto"/>
          <w:sz w:val="24"/>
          <w:highlight w:val="none"/>
          <w:lang w:val="en-US" w:eastAsia="zh-CN"/>
        </w:rPr>
        <w:t>2024年</w:t>
      </w:r>
      <w:r>
        <w:rPr>
          <w:rFonts w:hint="eastAsia"/>
          <w:color w:val="auto"/>
          <w:sz w:val="24"/>
          <w:highlight w:val="none"/>
          <w:lang w:val="en-US" w:eastAsia="zh-CN"/>
        </w:rPr>
        <w:t>8</w:t>
      </w:r>
      <w:r>
        <w:rPr>
          <w:rFonts w:hint="eastAsia" w:ascii="Times New Roman" w:hAnsi="Times New Roman" w:eastAsia="宋体"/>
          <w:color w:val="auto"/>
          <w:sz w:val="24"/>
          <w:highlight w:val="none"/>
          <w:lang w:val="en-US" w:eastAsia="zh-CN"/>
        </w:rPr>
        <w:t>月</w:t>
      </w:r>
      <w:r>
        <w:rPr>
          <w:rFonts w:hint="eastAsia"/>
          <w:color w:val="auto"/>
          <w:sz w:val="24"/>
          <w:highlight w:val="none"/>
          <w:lang w:val="en-US" w:eastAsia="zh-CN"/>
        </w:rPr>
        <w:t>26</w:t>
      </w:r>
      <w:r>
        <w:rPr>
          <w:rFonts w:hint="eastAsia" w:ascii="Times New Roman" w:hAnsi="Times New Roman" w:eastAsia="宋体"/>
          <w:color w:val="auto"/>
          <w:sz w:val="24"/>
          <w:highlight w:val="none"/>
          <w:lang w:val="en-US" w:eastAsia="zh-CN"/>
        </w:rPr>
        <w:t>日-</w:t>
      </w:r>
      <w:r>
        <w:rPr>
          <w:rFonts w:hint="eastAsia"/>
          <w:color w:val="auto"/>
          <w:sz w:val="24"/>
          <w:highlight w:val="none"/>
          <w:lang w:val="en-US" w:eastAsia="zh-CN"/>
        </w:rPr>
        <w:t>2024年8</w:t>
      </w:r>
      <w:r>
        <w:rPr>
          <w:rFonts w:hint="eastAsia" w:ascii="Times New Roman" w:hAnsi="Times New Roman" w:eastAsia="宋体"/>
          <w:color w:val="auto"/>
          <w:sz w:val="24"/>
          <w:highlight w:val="none"/>
          <w:lang w:val="en-US" w:eastAsia="zh-CN"/>
        </w:rPr>
        <w:t>月</w:t>
      </w:r>
      <w:r>
        <w:rPr>
          <w:rFonts w:hint="eastAsia"/>
          <w:color w:val="auto"/>
          <w:sz w:val="24"/>
          <w:highlight w:val="none"/>
          <w:lang w:val="en-US" w:eastAsia="zh-CN"/>
        </w:rPr>
        <w:t>30</w:t>
      </w:r>
      <w:r>
        <w:rPr>
          <w:rFonts w:hint="eastAsia" w:ascii="Times New Roman" w:hAnsi="Times New Roman" w:eastAsia="宋体"/>
          <w:color w:val="auto"/>
          <w:sz w:val="24"/>
          <w:highlight w:val="none"/>
          <w:lang w:val="en-US" w:eastAsia="zh-CN"/>
        </w:rPr>
        <w:t>日</w:t>
      </w:r>
      <w:r>
        <w:rPr>
          <w:rFonts w:hint="eastAsia" w:ascii="Times New Roman" w:hAnsi="Times New Roman"/>
          <w:color w:val="auto"/>
          <w:sz w:val="24"/>
          <w:highlight w:val="none"/>
          <w:lang w:val="en-US" w:eastAsia="zh-CN"/>
        </w:rPr>
        <w:t>上</w:t>
      </w:r>
      <w:r>
        <w:rPr>
          <w:rFonts w:hint="eastAsia" w:ascii="Times New Roman" w:hAnsi="Times New Roman" w:eastAsia="宋体"/>
          <w:color w:val="auto"/>
          <w:sz w:val="24"/>
          <w:highlight w:val="none"/>
          <w:lang w:val="en-US" w:eastAsia="zh-CN"/>
        </w:rPr>
        <w:t>午9:</w:t>
      </w:r>
      <w:r>
        <w:rPr>
          <w:rFonts w:hint="eastAsia" w:eastAsia="宋体"/>
          <w:color w:val="auto"/>
          <w:sz w:val="24"/>
          <w:highlight w:val="none"/>
          <w:lang w:val="en-US" w:eastAsia="zh-CN"/>
        </w:rPr>
        <w:t>3</w:t>
      </w:r>
      <w:r>
        <w:rPr>
          <w:rFonts w:hint="eastAsia" w:ascii="Times New Roman" w:hAnsi="Times New Roman" w:eastAsia="宋体"/>
          <w:color w:val="auto"/>
          <w:sz w:val="24"/>
          <w:highlight w:val="none"/>
          <w:lang w:val="en-US" w:eastAsia="zh-CN"/>
        </w:rPr>
        <w:t>0（北京时间）</w:t>
      </w:r>
    </w:p>
    <w:p w14:paraId="3FC2B3A2">
      <w:pPr>
        <w:pageBreakBefore w:val="0"/>
        <w:kinsoku/>
        <w:overflowPunct/>
        <w:topLinePunct w:val="0"/>
        <w:bidi w:val="0"/>
        <w:spacing w:before="240" w:line="360" w:lineRule="auto"/>
        <w:ind w:left="0" w:leftChars="0" w:firstLine="480" w:firstLineChars="200"/>
        <w:contextualSpacing/>
        <w:textAlignment w:val="auto"/>
        <w:rPr>
          <w:rFonts w:hint="eastAsia" w:ascii="Times New Roman" w:hAnsi="Times New Roman" w:eastAsia="宋体"/>
          <w:color w:val="auto"/>
          <w:sz w:val="24"/>
          <w:highlight w:val="none"/>
        </w:rPr>
      </w:pPr>
      <w:r>
        <w:rPr>
          <w:rFonts w:hint="eastAsia" w:ascii="Times New Roman" w:hAnsi="Times New Roman" w:eastAsia="宋体"/>
          <w:color w:val="auto"/>
          <w:sz w:val="24"/>
          <w:highlight w:val="none"/>
        </w:rPr>
        <w:t>递交响应文件截止时间：</w:t>
      </w:r>
      <w:r>
        <w:rPr>
          <w:rFonts w:hint="eastAsia"/>
          <w:color w:val="auto"/>
          <w:sz w:val="24"/>
          <w:highlight w:val="none"/>
          <w:lang w:val="en-US" w:eastAsia="zh-CN"/>
        </w:rPr>
        <w:t>2024年8</w:t>
      </w:r>
      <w:r>
        <w:rPr>
          <w:rFonts w:hint="eastAsia" w:ascii="Times New Roman" w:hAnsi="Times New Roman" w:eastAsia="宋体"/>
          <w:color w:val="auto"/>
          <w:sz w:val="24"/>
          <w:highlight w:val="none"/>
          <w:lang w:val="en-US" w:eastAsia="zh-CN"/>
        </w:rPr>
        <w:t>月</w:t>
      </w:r>
      <w:r>
        <w:rPr>
          <w:rFonts w:hint="eastAsia"/>
          <w:color w:val="auto"/>
          <w:sz w:val="24"/>
          <w:highlight w:val="none"/>
          <w:lang w:val="en-US" w:eastAsia="zh-CN"/>
        </w:rPr>
        <w:t>30</w:t>
      </w:r>
      <w:r>
        <w:rPr>
          <w:rFonts w:hint="eastAsia" w:ascii="Times New Roman" w:hAnsi="Times New Roman" w:eastAsia="宋体"/>
          <w:color w:val="auto"/>
          <w:sz w:val="24"/>
          <w:highlight w:val="none"/>
          <w:lang w:val="en-US" w:eastAsia="zh-CN"/>
        </w:rPr>
        <w:t>日</w:t>
      </w:r>
      <w:r>
        <w:rPr>
          <w:rFonts w:hint="eastAsia" w:ascii="Times New Roman" w:hAnsi="Times New Roman"/>
          <w:color w:val="auto"/>
          <w:sz w:val="24"/>
          <w:highlight w:val="none"/>
          <w:lang w:val="en-US" w:eastAsia="zh-CN"/>
        </w:rPr>
        <w:t>上</w:t>
      </w:r>
      <w:r>
        <w:rPr>
          <w:rFonts w:hint="eastAsia" w:ascii="Times New Roman" w:hAnsi="Times New Roman" w:eastAsia="宋体"/>
          <w:color w:val="auto"/>
          <w:sz w:val="24"/>
          <w:highlight w:val="none"/>
          <w:lang w:val="en-US" w:eastAsia="zh-CN"/>
        </w:rPr>
        <w:t>午9:</w:t>
      </w:r>
      <w:r>
        <w:rPr>
          <w:rFonts w:hint="eastAsia" w:eastAsia="宋体"/>
          <w:color w:val="auto"/>
          <w:sz w:val="24"/>
          <w:highlight w:val="none"/>
          <w:lang w:val="en-US" w:eastAsia="zh-CN"/>
        </w:rPr>
        <w:t>3</w:t>
      </w:r>
      <w:r>
        <w:rPr>
          <w:rFonts w:hint="eastAsia" w:ascii="Times New Roman" w:hAnsi="Times New Roman" w:eastAsia="宋体"/>
          <w:color w:val="auto"/>
          <w:sz w:val="24"/>
          <w:highlight w:val="none"/>
          <w:lang w:val="en-US" w:eastAsia="zh-CN"/>
        </w:rPr>
        <w:t>0（北京时间）</w:t>
      </w:r>
    </w:p>
    <w:p w14:paraId="1808563A">
      <w:pPr>
        <w:pageBreakBefore w:val="0"/>
        <w:kinsoku/>
        <w:overflowPunct/>
        <w:topLinePunct w:val="0"/>
        <w:bidi w:val="0"/>
        <w:spacing w:before="240" w:line="360" w:lineRule="auto"/>
        <w:ind w:left="0" w:leftChars="0" w:firstLine="480" w:firstLineChars="200"/>
        <w:contextualSpacing/>
        <w:textAlignment w:val="auto"/>
        <w:rPr>
          <w:rFonts w:hint="eastAsia" w:ascii="Times New Roman" w:hAnsi="Times New Roman" w:eastAsia="宋体"/>
          <w:color w:val="auto"/>
          <w:sz w:val="24"/>
          <w:highlight w:val="none"/>
          <w:lang w:val="en-US" w:eastAsia="zh-CN"/>
        </w:rPr>
      </w:pPr>
      <w:r>
        <w:rPr>
          <w:rFonts w:hint="eastAsia" w:ascii="Times New Roman" w:hAnsi="Times New Roman" w:eastAsia="宋体"/>
          <w:color w:val="auto"/>
          <w:sz w:val="24"/>
          <w:highlight w:val="none"/>
          <w:lang w:val="en-US" w:eastAsia="zh-CN"/>
        </w:rPr>
        <w:t>响应文件解密开始</w:t>
      </w:r>
      <w:r>
        <w:rPr>
          <w:rFonts w:hint="eastAsia" w:ascii="Times New Roman" w:hAnsi="Times New Roman" w:eastAsia="宋体"/>
          <w:color w:val="auto"/>
          <w:sz w:val="24"/>
          <w:highlight w:val="none"/>
        </w:rPr>
        <w:t>时间：</w:t>
      </w:r>
      <w:r>
        <w:rPr>
          <w:rFonts w:hint="eastAsia"/>
          <w:color w:val="auto"/>
          <w:sz w:val="24"/>
          <w:highlight w:val="none"/>
          <w:lang w:val="en-US" w:eastAsia="zh-CN"/>
        </w:rPr>
        <w:t>2024年8</w:t>
      </w:r>
      <w:r>
        <w:rPr>
          <w:rFonts w:hint="eastAsia" w:ascii="Times New Roman" w:hAnsi="Times New Roman" w:eastAsia="宋体"/>
          <w:color w:val="auto"/>
          <w:sz w:val="24"/>
          <w:highlight w:val="none"/>
          <w:lang w:val="en-US" w:eastAsia="zh-CN"/>
        </w:rPr>
        <w:t>月</w:t>
      </w:r>
      <w:r>
        <w:rPr>
          <w:rFonts w:hint="eastAsia"/>
          <w:color w:val="auto"/>
          <w:sz w:val="24"/>
          <w:highlight w:val="none"/>
          <w:lang w:val="en-US" w:eastAsia="zh-CN"/>
        </w:rPr>
        <w:t>30</w:t>
      </w:r>
      <w:r>
        <w:rPr>
          <w:rFonts w:hint="eastAsia" w:ascii="Times New Roman" w:hAnsi="Times New Roman" w:eastAsia="宋体"/>
          <w:color w:val="auto"/>
          <w:sz w:val="24"/>
          <w:highlight w:val="none"/>
          <w:lang w:val="en-US" w:eastAsia="zh-CN"/>
        </w:rPr>
        <w:t>日</w:t>
      </w:r>
      <w:r>
        <w:rPr>
          <w:rFonts w:hint="eastAsia" w:ascii="Times New Roman" w:hAnsi="Times New Roman"/>
          <w:color w:val="auto"/>
          <w:sz w:val="24"/>
          <w:highlight w:val="none"/>
          <w:lang w:val="en-US" w:eastAsia="zh-CN"/>
        </w:rPr>
        <w:t>上</w:t>
      </w:r>
      <w:r>
        <w:rPr>
          <w:rFonts w:hint="eastAsia" w:ascii="Times New Roman" w:hAnsi="Times New Roman" w:eastAsia="宋体"/>
          <w:color w:val="auto"/>
          <w:sz w:val="24"/>
          <w:highlight w:val="none"/>
          <w:lang w:val="en-US" w:eastAsia="zh-CN"/>
        </w:rPr>
        <w:t>午9:</w:t>
      </w:r>
      <w:r>
        <w:rPr>
          <w:rFonts w:hint="eastAsia" w:eastAsia="宋体"/>
          <w:color w:val="auto"/>
          <w:sz w:val="24"/>
          <w:highlight w:val="none"/>
          <w:lang w:val="en-US" w:eastAsia="zh-CN"/>
        </w:rPr>
        <w:t>3</w:t>
      </w:r>
      <w:r>
        <w:rPr>
          <w:rFonts w:hint="eastAsia" w:ascii="Times New Roman" w:hAnsi="Times New Roman" w:eastAsia="宋体"/>
          <w:color w:val="auto"/>
          <w:sz w:val="24"/>
          <w:highlight w:val="none"/>
          <w:lang w:val="en-US" w:eastAsia="zh-CN"/>
        </w:rPr>
        <w:t>0（北京时间）</w:t>
      </w:r>
    </w:p>
    <w:p w14:paraId="75E708AC">
      <w:pPr>
        <w:pageBreakBefore w:val="0"/>
        <w:kinsoku/>
        <w:overflowPunct/>
        <w:topLinePunct w:val="0"/>
        <w:bidi w:val="0"/>
        <w:spacing w:before="240" w:line="360" w:lineRule="auto"/>
        <w:ind w:left="0" w:leftChars="0" w:firstLine="480" w:firstLineChars="200"/>
        <w:contextualSpacing/>
        <w:textAlignment w:val="auto"/>
        <w:rPr>
          <w:rFonts w:hint="eastAsia" w:ascii="Times New Roman" w:hAnsi="Times New Roman" w:eastAsia="宋体"/>
          <w:color w:val="auto"/>
          <w:sz w:val="24"/>
          <w:highlight w:val="none"/>
          <w:lang w:val="en-US"/>
        </w:rPr>
      </w:pPr>
      <w:r>
        <w:rPr>
          <w:rFonts w:hint="eastAsia" w:ascii="Times New Roman" w:hAnsi="Times New Roman" w:eastAsia="宋体"/>
          <w:color w:val="auto"/>
          <w:sz w:val="24"/>
          <w:highlight w:val="none"/>
          <w:lang w:val="en-US" w:eastAsia="zh-CN"/>
        </w:rPr>
        <w:t>响应文件解密截止时间：</w:t>
      </w:r>
      <w:r>
        <w:rPr>
          <w:rFonts w:hint="eastAsia"/>
          <w:color w:val="auto"/>
          <w:sz w:val="24"/>
          <w:highlight w:val="none"/>
          <w:lang w:val="en-US" w:eastAsia="zh-CN"/>
        </w:rPr>
        <w:t>2024年8</w:t>
      </w:r>
      <w:r>
        <w:rPr>
          <w:rFonts w:hint="eastAsia" w:ascii="Times New Roman" w:hAnsi="Times New Roman" w:eastAsia="宋体"/>
          <w:color w:val="auto"/>
          <w:sz w:val="24"/>
          <w:highlight w:val="none"/>
          <w:lang w:val="en-US" w:eastAsia="zh-CN"/>
        </w:rPr>
        <w:t>月</w:t>
      </w:r>
      <w:r>
        <w:rPr>
          <w:rFonts w:hint="eastAsia"/>
          <w:color w:val="auto"/>
          <w:sz w:val="24"/>
          <w:highlight w:val="none"/>
          <w:lang w:val="en-US" w:eastAsia="zh-CN"/>
        </w:rPr>
        <w:t>30</w:t>
      </w:r>
      <w:r>
        <w:rPr>
          <w:rFonts w:hint="eastAsia" w:ascii="Times New Roman" w:hAnsi="Times New Roman" w:eastAsia="宋体"/>
          <w:color w:val="auto"/>
          <w:sz w:val="24"/>
          <w:highlight w:val="none"/>
          <w:lang w:val="en-US" w:eastAsia="zh-CN"/>
        </w:rPr>
        <w:t>日</w:t>
      </w:r>
      <w:r>
        <w:rPr>
          <w:rFonts w:hint="eastAsia" w:ascii="Times New Roman" w:hAnsi="Times New Roman"/>
          <w:color w:val="auto"/>
          <w:sz w:val="24"/>
          <w:highlight w:val="none"/>
          <w:lang w:val="en-US" w:eastAsia="zh-CN"/>
        </w:rPr>
        <w:t>上</w:t>
      </w:r>
      <w:r>
        <w:rPr>
          <w:rFonts w:hint="eastAsia" w:ascii="Times New Roman" w:hAnsi="Times New Roman" w:eastAsia="宋体"/>
          <w:color w:val="auto"/>
          <w:sz w:val="24"/>
          <w:highlight w:val="none"/>
          <w:lang w:val="en-US" w:eastAsia="zh-CN"/>
        </w:rPr>
        <w:t>午10:</w:t>
      </w:r>
      <w:r>
        <w:rPr>
          <w:rFonts w:hint="eastAsia" w:eastAsia="宋体"/>
          <w:color w:val="auto"/>
          <w:sz w:val="24"/>
          <w:highlight w:val="none"/>
          <w:lang w:val="en-US" w:eastAsia="zh-CN"/>
        </w:rPr>
        <w:t>3</w:t>
      </w:r>
      <w:r>
        <w:rPr>
          <w:rFonts w:hint="eastAsia" w:ascii="Times New Roman" w:hAnsi="Times New Roman" w:eastAsia="宋体"/>
          <w:color w:val="auto"/>
          <w:sz w:val="24"/>
          <w:highlight w:val="none"/>
          <w:lang w:val="en-US" w:eastAsia="zh-CN"/>
        </w:rPr>
        <w:t>0（北京时间）</w:t>
      </w:r>
    </w:p>
    <w:p w14:paraId="26E46C21">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b/>
          <w:color w:val="auto"/>
          <w:sz w:val="28"/>
          <w:szCs w:val="28"/>
          <w:highlight w:val="none"/>
        </w:rPr>
      </w:pPr>
      <w:bookmarkStart w:id="47" w:name="_Toc15286"/>
      <w:bookmarkStart w:id="48" w:name="_Toc627"/>
      <w:bookmarkStart w:id="49" w:name="_Toc25194"/>
      <w:r>
        <w:rPr>
          <w:rFonts w:hint="eastAsia" w:ascii="Times New Roman" w:hAnsi="Times New Roman" w:eastAsia="宋体"/>
          <w:b/>
          <w:color w:val="auto"/>
          <w:sz w:val="28"/>
          <w:szCs w:val="28"/>
          <w:highlight w:val="none"/>
        </w:rPr>
        <w:t>解密方式及</w:t>
      </w:r>
      <w:r>
        <w:rPr>
          <w:rFonts w:hint="eastAsia" w:ascii="Times New Roman" w:hAnsi="Times New Roman" w:eastAsia="宋体"/>
          <w:b/>
          <w:color w:val="auto"/>
          <w:sz w:val="28"/>
          <w:szCs w:val="28"/>
          <w:highlight w:val="none"/>
          <w:lang w:eastAsia="zh-CN"/>
        </w:rPr>
        <w:t>协商</w:t>
      </w:r>
      <w:r>
        <w:rPr>
          <w:rFonts w:hint="eastAsia" w:ascii="Times New Roman" w:hAnsi="Times New Roman" w:eastAsia="宋体"/>
          <w:b/>
          <w:color w:val="auto"/>
          <w:sz w:val="28"/>
          <w:szCs w:val="28"/>
          <w:highlight w:val="none"/>
        </w:rPr>
        <w:t>方式：</w:t>
      </w:r>
      <w:bookmarkEnd w:id="47"/>
      <w:bookmarkEnd w:id="48"/>
      <w:bookmarkEnd w:id="49"/>
    </w:p>
    <w:p w14:paraId="63474B2C">
      <w:pPr>
        <w:pageBreakBefore w:val="0"/>
        <w:kinsoku/>
        <w:overflowPunct/>
        <w:topLinePunct w:val="0"/>
        <w:bidi w:val="0"/>
        <w:spacing w:before="240" w:line="360" w:lineRule="auto"/>
        <w:ind w:left="0" w:leftChars="0" w:firstLine="480" w:firstLineChars="200"/>
        <w:contextualSpacing/>
        <w:textAlignment w:val="auto"/>
        <w:rPr>
          <w:rFonts w:hint="eastAsia" w:ascii="Times New Roman" w:hAnsi="Times New Roman" w:eastAsia="宋体" w:cs="宋体"/>
          <w:color w:val="auto"/>
          <w:sz w:val="24"/>
          <w:highlight w:val="none"/>
        </w:rPr>
      </w:pPr>
      <w:r>
        <w:rPr>
          <w:rFonts w:hint="eastAsia" w:ascii="Times New Roman" w:hAnsi="Times New Roman"/>
          <w:b w:val="0"/>
          <w:bCs w:val="0"/>
          <w:color w:val="auto"/>
          <w:sz w:val="24"/>
          <w:highlight w:val="none"/>
          <w:lang w:val="en-US" w:eastAsia="zh-CN"/>
        </w:rPr>
        <w:t>1.</w:t>
      </w:r>
      <w:r>
        <w:rPr>
          <w:rFonts w:hint="eastAsia" w:ascii="Times New Roman" w:hAnsi="Times New Roman" w:eastAsia="宋体"/>
          <w:b w:val="0"/>
          <w:bCs w:val="0"/>
          <w:color w:val="auto"/>
          <w:sz w:val="24"/>
          <w:highlight w:val="none"/>
          <w:lang w:val="en-US" w:eastAsia="zh-CN"/>
        </w:rPr>
        <w:t>解密方式：</w:t>
      </w:r>
      <w:r>
        <w:rPr>
          <w:rFonts w:hint="eastAsia" w:ascii="Times New Roman" w:hAnsi="Times New Roman" w:eastAsia="宋体"/>
          <w:b w:val="0"/>
          <w:bCs w:val="0"/>
          <w:color w:val="auto"/>
          <w:sz w:val="24"/>
          <w:highlight w:val="none"/>
        </w:rPr>
        <w:t>远程解密</w:t>
      </w:r>
      <w:r>
        <w:rPr>
          <w:rFonts w:hint="eastAsia" w:ascii="Times New Roman" w:hAnsi="Times New Roman"/>
          <w:b w:val="0"/>
          <w:bCs w:val="0"/>
          <w:color w:val="auto"/>
          <w:sz w:val="24"/>
          <w:highlight w:val="none"/>
          <w:lang w:eastAsia="zh-CN"/>
        </w:rPr>
        <w:t>，</w:t>
      </w:r>
      <w:r>
        <w:rPr>
          <w:rFonts w:hint="eastAsia" w:ascii="Times New Roman" w:hAnsi="Times New Roman" w:eastAsia="宋体" w:cs="宋体"/>
          <w:b w:val="0"/>
          <w:bCs w:val="0"/>
          <w:color w:val="auto"/>
          <w:sz w:val="24"/>
          <w:highlight w:val="none"/>
        </w:rPr>
        <w:t>供应商于递交响应文件截止时间在原单位使用原上传文件电脑通过数字证书（CA）</w:t>
      </w:r>
      <w:r>
        <w:rPr>
          <w:rFonts w:hint="eastAsia" w:ascii="Times New Roman" w:hAnsi="Times New Roman" w:eastAsia="宋体" w:cs="宋体"/>
          <w:color w:val="auto"/>
          <w:sz w:val="24"/>
          <w:highlight w:val="none"/>
        </w:rPr>
        <w:t>或登录【</w:t>
      </w:r>
      <w:r>
        <w:rPr>
          <w:rFonts w:hint="eastAsia" w:ascii="Times New Roman" w:hAnsi="Times New Roman" w:cs="宋体"/>
          <w:color w:val="auto"/>
          <w:sz w:val="24"/>
          <w:highlight w:val="none"/>
          <w:lang w:eastAsia="zh-CN"/>
        </w:rPr>
        <w:t>中招互连</w:t>
      </w:r>
      <w:r>
        <w:rPr>
          <w:rFonts w:hint="eastAsia" w:ascii="Times New Roman" w:hAnsi="Times New Roman" w:eastAsia="宋体" w:cs="宋体"/>
          <w:color w:val="auto"/>
          <w:sz w:val="24"/>
          <w:highlight w:val="none"/>
        </w:rPr>
        <w:t>】APP或进行响应文件的远程解密（届时请持上传文件时所使用的手机提前30分钟等候在电脑前准备参加文件解密，需保持电脑网络通畅）。</w:t>
      </w:r>
    </w:p>
    <w:p w14:paraId="04B8EA24">
      <w:pPr>
        <w:pageBreakBefore w:val="0"/>
        <w:numPr>
          <w:ilvl w:val="0"/>
          <w:numId w:val="0"/>
        </w:numPr>
        <w:kinsoku/>
        <w:overflowPunct/>
        <w:topLinePunct w:val="0"/>
        <w:bidi w:val="0"/>
        <w:spacing w:before="240" w:line="360" w:lineRule="auto"/>
        <w:ind w:firstLine="480" w:firstLineChars="200"/>
        <w:contextualSpacing/>
        <w:textAlignment w:val="auto"/>
        <w:rPr>
          <w:rFonts w:ascii="Times New Roman" w:hAnsi="Times New Roman" w:eastAsia="宋体"/>
          <w:color w:val="auto"/>
          <w:sz w:val="24"/>
          <w:highlight w:val="none"/>
        </w:rPr>
      </w:pPr>
      <w:r>
        <w:rPr>
          <w:rFonts w:hint="eastAsia" w:eastAsia="宋体"/>
          <w:color w:val="auto"/>
          <w:sz w:val="24"/>
          <w:highlight w:val="none"/>
          <w:lang w:val="en-US" w:eastAsia="zh-CN"/>
        </w:rPr>
        <w:t>开标</w:t>
      </w:r>
      <w:r>
        <w:rPr>
          <w:rFonts w:hint="eastAsia" w:ascii="Times New Roman" w:hAnsi="Times New Roman" w:eastAsia="宋体"/>
          <w:color w:val="auto"/>
          <w:sz w:val="24"/>
          <w:highlight w:val="none"/>
        </w:rPr>
        <w:t>地点：</w:t>
      </w:r>
      <w:r>
        <w:rPr>
          <w:rFonts w:hint="eastAsia" w:ascii="Times New Roman" w:hAnsi="Times New Roman" w:eastAsia="宋体"/>
          <w:color w:val="auto"/>
          <w:sz w:val="24"/>
          <w:highlight w:val="none"/>
          <w:shd w:val="clear" w:color="auto" w:fill="auto"/>
        </w:rPr>
        <w:t>内蒙古产权交易中心有限责任公司开标室。</w:t>
      </w:r>
    </w:p>
    <w:p w14:paraId="7D127D30">
      <w:pPr>
        <w:pageBreakBefore w:val="0"/>
        <w:kinsoku/>
        <w:overflowPunct/>
        <w:topLinePunct w:val="0"/>
        <w:bidi w:val="0"/>
        <w:spacing w:before="240" w:line="360" w:lineRule="auto"/>
        <w:ind w:left="0" w:leftChars="0" w:firstLine="480" w:firstLineChars="200"/>
        <w:contextualSpacing/>
        <w:textAlignment w:val="auto"/>
        <w:rPr>
          <w:rFonts w:ascii="Times New Roman" w:hAnsi="Times New Roman" w:eastAsia="宋体"/>
          <w:color w:val="auto"/>
          <w:sz w:val="24"/>
          <w:highlight w:val="none"/>
        </w:rPr>
      </w:pPr>
      <w:r>
        <w:rPr>
          <w:rFonts w:hint="eastAsia" w:eastAsia="宋体"/>
          <w:color w:val="auto"/>
          <w:sz w:val="24"/>
          <w:highlight w:val="none"/>
          <w:lang w:val="en-US" w:eastAsia="zh-CN"/>
        </w:rPr>
        <w:t>详细</w:t>
      </w:r>
      <w:r>
        <w:rPr>
          <w:rFonts w:hint="eastAsia" w:ascii="Times New Roman" w:hAnsi="Times New Roman" w:eastAsia="宋体"/>
          <w:color w:val="auto"/>
          <w:sz w:val="24"/>
          <w:highlight w:val="none"/>
        </w:rPr>
        <w:t>地址：呼和浩特市赛罕区</w:t>
      </w:r>
      <w:r>
        <w:rPr>
          <w:rFonts w:hint="eastAsia" w:ascii="Times New Roman" w:hAnsi="Times New Roman"/>
          <w:color w:val="auto"/>
          <w:sz w:val="24"/>
          <w:highlight w:val="none"/>
          <w:lang w:eastAsia="zh-CN"/>
        </w:rPr>
        <w:t>阿吉泰路</w:t>
      </w:r>
      <w:r>
        <w:rPr>
          <w:rFonts w:hint="eastAsia" w:ascii="Times New Roman" w:hAnsi="Times New Roman" w:eastAsia="宋体"/>
          <w:color w:val="auto"/>
          <w:sz w:val="24"/>
          <w:highlight w:val="none"/>
        </w:rPr>
        <w:t>3号。</w:t>
      </w:r>
    </w:p>
    <w:p w14:paraId="3D372423">
      <w:pPr>
        <w:pageBreakBefore w:val="0"/>
        <w:kinsoku/>
        <w:overflowPunct/>
        <w:topLinePunct w:val="0"/>
        <w:bidi w:val="0"/>
        <w:spacing w:before="240" w:line="360" w:lineRule="auto"/>
        <w:ind w:left="0" w:leftChars="0" w:firstLine="480" w:firstLineChars="200"/>
        <w:contextualSpacing/>
        <w:textAlignment w:val="auto"/>
        <w:rPr>
          <w:rFonts w:hint="eastAsia" w:ascii="Times New Roman" w:hAnsi="Times New Roman" w:eastAsia="宋体" w:cs="宋体"/>
          <w:color w:val="auto"/>
          <w:kern w:val="2"/>
          <w:sz w:val="24"/>
          <w:szCs w:val="24"/>
          <w:highlight w:val="none"/>
          <w:lang w:val="en-US" w:eastAsia="zh-CN" w:bidi="ar-SA"/>
        </w:rPr>
      </w:pPr>
      <w:r>
        <w:rPr>
          <w:rFonts w:hint="eastAsia" w:ascii="Times New Roman" w:hAnsi="Times New Roman" w:eastAsia="宋体"/>
          <w:color w:val="auto"/>
          <w:sz w:val="24"/>
          <w:highlight w:val="none"/>
        </w:rPr>
        <w:t>如果递交响应文件截止时间有改变，采购代理机构将提前通知，逾期提交的响应文件将不予受理。</w:t>
      </w:r>
    </w:p>
    <w:p w14:paraId="67504909">
      <w:pPr>
        <w:pStyle w:val="9"/>
        <w:numPr>
          <w:ilvl w:val="0"/>
          <w:numId w:val="6"/>
        </w:numPr>
        <w:spacing w:line="360" w:lineRule="auto"/>
        <w:rPr>
          <w:rFonts w:hint="eastAsia" w:ascii="Times New Roman" w:hAnsi="Times New Roman" w:eastAsia="宋体" w:cs="Times New Roman"/>
          <w:color w:val="auto"/>
          <w:kern w:val="2"/>
          <w:sz w:val="24"/>
          <w:szCs w:val="24"/>
          <w:highlight w:val="none"/>
          <w:lang w:val="en-US" w:eastAsia="zh-CN" w:bidi="ar-SA"/>
        </w:rPr>
      </w:pPr>
      <w:r>
        <w:rPr>
          <w:rFonts w:hint="eastAsia" w:ascii="Times New Roman" w:hAnsi="Times New Roman" w:eastAsia="宋体" w:cs="Times New Roman"/>
          <w:color w:val="auto"/>
          <w:kern w:val="2"/>
          <w:sz w:val="24"/>
          <w:szCs w:val="24"/>
          <w:highlight w:val="none"/>
          <w:lang w:val="en-US" w:eastAsia="zh-CN" w:bidi="ar-SA"/>
        </w:rPr>
        <w:t>远程协商：供应商不需到达评审现场，专家通过远程与各供应商进行视频协商。</w:t>
      </w:r>
    </w:p>
    <w:p w14:paraId="58A476DB">
      <w:pPr>
        <w:pStyle w:val="9"/>
        <w:numPr>
          <w:ilvl w:val="0"/>
          <w:numId w:val="0"/>
        </w:numPr>
        <w:spacing w:line="360" w:lineRule="auto"/>
        <w:ind w:firstLine="480" w:firstLineChars="200"/>
        <w:rPr>
          <w:rFonts w:hint="eastAsia"/>
          <w:lang w:val="en-US" w:eastAsia="zh-CN"/>
        </w:rPr>
      </w:pPr>
      <w:r>
        <w:rPr>
          <w:rFonts w:hint="eastAsia" w:ascii="Times New Roman" w:hAnsi="Times New Roman" w:eastAsia="宋体" w:cs="Times New Roman"/>
          <w:color w:val="auto"/>
          <w:kern w:val="2"/>
          <w:sz w:val="24"/>
          <w:szCs w:val="24"/>
          <w:highlight w:val="none"/>
          <w:lang w:val="en-US" w:eastAsia="zh-CN" w:bidi="ar-SA"/>
        </w:rPr>
        <w:t>请供应商按公告时间及时参与相关签到、解密及确认工作，签到、解密及确认过程中有任何问题请及时联系技术支持解决（</w:t>
      </w:r>
      <w:r>
        <w:rPr>
          <w:rFonts w:hint="eastAsia" w:ascii="宋体" w:hAnsi="宋体" w:eastAsia="宋体" w:cs="宋体"/>
          <w:color w:val="auto"/>
          <w:sz w:val="24"/>
          <w:szCs w:val="24"/>
          <w:highlight w:val="none"/>
          <w:lang w:val="en-US" w:eastAsia="zh-CN"/>
        </w:rPr>
        <w:t>平台联系电话：400-9913-966 周一～周五9:00-17:00</w:t>
      </w:r>
      <w:r>
        <w:rPr>
          <w:rFonts w:hint="eastAsia" w:ascii="Times New Roman" w:hAnsi="Times New Roman" w:eastAsia="宋体" w:cs="Times New Roman"/>
          <w:color w:val="auto"/>
          <w:kern w:val="2"/>
          <w:sz w:val="24"/>
          <w:szCs w:val="24"/>
          <w:highlight w:val="none"/>
          <w:lang w:val="en-US" w:eastAsia="zh-CN" w:bidi="ar-SA"/>
        </w:rPr>
        <w:t>），因供应商原因未在规定时间内解密响应文件，视为供应商撤销其响应文件。</w:t>
      </w:r>
    </w:p>
    <w:p w14:paraId="5721B51A">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cs="Times New Roman"/>
          <w:b/>
          <w:color w:val="auto"/>
          <w:sz w:val="28"/>
          <w:szCs w:val="28"/>
          <w:highlight w:val="none"/>
          <w:lang w:val="en-US" w:eastAsia="zh-CN"/>
        </w:rPr>
      </w:pPr>
      <w:bookmarkStart w:id="50" w:name="_Toc20683"/>
      <w:bookmarkStart w:id="51" w:name="_Toc5192"/>
      <w:r>
        <w:rPr>
          <w:rFonts w:hint="eastAsia" w:ascii="Times New Roman" w:hAnsi="Times New Roman" w:eastAsia="宋体" w:cs="Times New Roman"/>
          <w:b/>
          <w:color w:val="auto"/>
          <w:sz w:val="28"/>
          <w:szCs w:val="28"/>
          <w:highlight w:val="none"/>
          <w:lang w:val="en-US" w:eastAsia="zh-CN"/>
        </w:rPr>
        <w:t>评审方式</w:t>
      </w:r>
      <w:bookmarkEnd w:id="50"/>
      <w:bookmarkEnd w:id="51"/>
    </w:p>
    <w:p w14:paraId="514678E1">
      <w:pPr>
        <w:pStyle w:val="9"/>
        <w:keepNext w:val="0"/>
        <w:keepLines w:val="0"/>
        <w:pageBreakBefore w:val="0"/>
        <w:kinsoku/>
        <w:wordWrap/>
        <w:overflowPunct/>
        <w:topLinePunct w:val="0"/>
        <w:autoSpaceDE/>
        <w:autoSpaceDN/>
        <w:bidi w:val="0"/>
        <w:snapToGrid/>
        <w:spacing w:line="360" w:lineRule="auto"/>
        <w:textAlignment w:val="auto"/>
        <w:rPr>
          <w:color w:val="auto"/>
          <w:sz w:val="24"/>
          <w:szCs w:val="22"/>
          <w:highlight w:val="none"/>
        </w:rPr>
      </w:pPr>
      <w:r>
        <w:rPr>
          <w:rFonts w:hint="eastAsia"/>
          <w:color w:val="auto"/>
          <w:sz w:val="24"/>
          <w:szCs w:val="22"/>
          <w:highlight w:val="none"/>
          <w:lang w:val="en-US" w:eastAsia="zh-CN"/>
        </w:rPr>
        <w:t>经评审的最低价法。</w:t>
      </w:r>
    </w:p>
    <w:p w14:paraId="1F720D96">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cs="Times New Roman"/>
          <w:b/>
          <w:color w:val="auto"/>
          <w:sz w:val="28"/>
          <w:szCs w:val="28"/>
          <w:highlight w:val="none"/>
          <w:lang w:val="en-US" w:eastAsia="zh-CN"/>
        </w:rPr>
      </w:pPr>
      <w:bookmarkStart w:id="52" w:name="_Toc873"/>
      <w:bookmarkStart w:id="53" w:name="_Toc25307"/>
      <w:r>
        <w:rPr>
          <w:rFonts w:hint="eastAsia" w:ascii="Times New Roman" w:hAnsi="Times New Roman" w:eastAsia="宋体" w:cs="Times New Roman"/>
          <w:b/>
          <w:color w:val="auto"/>
          <w:sz w:val="28"/>
          <w:szCs w:val="28"/>
          <w:highlight w:val="none"/>
          <w:lang w:val="en-US" w:eastAsia="zh-CN"/>
        </w:rPr>
        <w:t>采购费用</w:t>
      </w:r>
      <w:bookmarkEnd w:id="52"/>
      <w:bookmarkEnd w:id="53"/>
    </w:p>
    <w:p w14:paraId="2F3E18C5">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cs="宋体"/>
          <w:color w:val="auto"/>
          <w:kern w:val="0"/>
          <w:sz w:val="24"/>
          <w:highlight w:val="none"/>
        </w:rPr>
      </w:pPr>
      <w:r>
        <w:rPr>
          <w:rFonts w:hint="eastAsia" w:ascii="宋体" w:hAnsi="宋体" w:cs="宋体"/>
          <w:color w:val="auto"/>
          <w:kern w:val="0"/>
          <w:sz w:val="24"/>
          <w:highlight w:val="none"/>
        </w:rPr>
        <w:t>（</w:t>
      </w:r>
      <w:r>
        <w:rPr>
          <w:rFonts w:ascii="宋体" w:hAnsi="宋体" w:cs="宋体"/>
          <w:color w:val="auto"/>
          <w:kern w:val="0"/>
          <w:sz w:val="24"/>
          <w:highlight w:val="none"/>
        </w:rPr>
        <w:t>1</w:t>
      </w:r>
      <w:r>
        <w:rPr>
          <w:rFonts w:hint="eastAsia" w:ascii="宋体" w:hAnsi="宋体" w:cs="宋体"/>
          <w:color w:val="auto"/>
          <w:kern w:val="0"/>
          <w:sz w:val="24"/>
          <w:highlight w:val="none"/>
        </w:rPr>
        <w:t>）本项目不收取保证金。</w:t>
      </w:r>
    </w:p>
    <w:p w14:paraId="65C3084F">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cs="宋体"/>
          <w:color w:val="auto"/>
          <w:kern w:val="0"/>
          <w:sz w:val="24"/>
          <w:highlight w:val="none"/>
        </w:rPr>
      </w:pPr>
      <w:r>
        <w:rPr>
          <w:rFonts w:hint="eastAsia" w:ascii="宋体" w:hAnsi="宋体" w:cs="宋体"/>
          <w:color w:val="auto"/>
          <w:kern w:val="0"/>
          <w:sz w:val="24"/>
          <w:highlight w:val="none"/>
        </w:rPr>
        <w:t>（</w:t>
      </w:r>
      <w:r>
        <w:rPr>
          <w:rFonts w:ascii="宋体" w:hAnsi="宋体" w:cs="宋体"/>
          <w:color w:val="auto"/>
          <w:kern w:val="0"/>
          <w:sz w:val="24"/>
          <w:highlight w:val="none"/>
        </w:rPr>
        <w:t>2</w:t>
      </w:r>
      <w:r>
        <w:rPr>
          <w:rFonts w:hint="eastAsia" w:ascii="宋体" w:hAnsi="宋体" w:cs="宋体"/>
          <w:color w:val="auto"/>
          <w:kern w:val="0"/>
          <w:sz w:val="24"/>
          <w:highlight w:val="none"/>
        </w:rPr>
        <w:t>）代理服务费：由成交单位缴纳代理服务费，</w:t>
      </w:r>
      <w:r>
        <w:rPr>
          <w:rFonts w:hint="eastAsia" w:ascii="宋体" w:hAnsi="宋体" w:cs="宋体"/>
          <w:color w:val="auto"/>
          <w:kern w:val="0"/>
          <w:sz w:val="24"/>
          <w:highlight w:val="none"/>
          <w:lang w:val="en-US" w:eastAsia="zh-CN"/>
        </w:rPr>
        <w:t>具体要求详见供应商须知前附表</w:t>
      </w:r>
      <w:r>
        <w:rPr>
          <w:rFonts w:hint="eastAsia" w:ascii="宋体" w:hAnsi="宋体" w:cs="宋体"/>
          <w:color w:val="auto"/>
          <w:kern w:val="0"/>
          <w:sz w:val="24"/>
          <w:highlight w:val="none"/>
        </w:rPr>
        <w:t>。</w:t>
      </w:r>
    </w:p>
    <w:p w14:paraId="1F7C9669">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cs="宋体"/>
          <w:kern w:val="0"/>
          <w:sz w:val="24"/>
        </w:rPr>
      </w:pPr>
      <w:r>
        <w:rPr>
          <w:rFonts w:hint="eastAsia" w:ascii="宋体" w:hAnsi="宋体" w:cs="宋体"/>
          <w:kern w:val="0"/>
          <w:sz w:val="24"/>
        </w:rPr>
        <w:t>（</w:t>
      </w:r>
      <w:r>
        <w:rPr>
          <w:rFonts w:ascii="宋体" w:hAnsi="宋体" w:cs="宋体"/>
          <w:kern w:val="0"/>
          <w:sz w:val="24"/>
        </w:rPr>
        <w:t>3</w:t>
      </w:r>
      <w:r>
        <w:rPr>
          <w:rFonts w:hint="eastAsia" w:ascii="宋体" w:hAnsi="宋体" w:cs="宋体"/>
          <w:kern w:val="0"/>
          <w:sz w:val="24"/>
        </w:rPr>
        <w:t>）</w:t>
      </w:r>
      <w:r>
        <w:rPr>
          <w:rFonts w:hint="eastAsia" w:cs="宋体"/>
          <w:sz w:val="24"/>
          <w:highlight w:val="none"/>
        </w:rPr>
        <w:t>内蒙古电力集团电子</w:t>
      </w:r>
      <w:r>
        <w:rPr>
          <w:rFonts w:hint="eastAsia" w:cs="宋体"/>
          <w:sz w:val="24"/>
          <w:highlight w:val="none"/>
          <w:lang w:val="en-US" w:eastAsia="zh-CN"/>
        </w:rPr>
        <w:t>采购</w:t>
      </w:r>
      <w:r>
        <w:rPr>
          <w:rFonts w:hint="eastAsia" w:cs="宋体"/>
          <w:sz w:val="24"/>
          <w:highlight w:val="none"/>
        </w:rPr>
        <w:t>系统</w:t>
      </w:r>
      <w:r>
        <w:rPr>
          <w:rFonts w:hint="eastAsia" w:ascii="Times New Roman" w:hAnsi="Times New Roman" w:eastAsia="宋体" w:cs="宋体"/>
          <w:sz w:val="24"/>
          <w:highlight w:val="none"/>
        </w:rPr>
        <w:t>使</w:t>
      </w:r>
      <w:r>
        <w:rPr>
          <w:rFonts w:hint="eastAsia" w:ascii="Times New Roman" w:hAnsi="Times New Roman" w:eastAsia="宋体" w:cs="宋体"/>
          <w:sz w:val="24"/>
        </w:rPr>
        <w:t>用服务费：本项目采用全流程电子采购，每标段每家供应商需（在</w:t>
      </w:r>
      <w:r>
        <w:rPr>
          <w:rFonts w:hint="eastAsia" w:ascii="Times New Roman" w:hAnsi="Times New Roman" w:eastAsia="宋体" w:cs="宋体"/>
          <w:sz w:val="24"/>
          <w:lang w:eastAsia="zh-CN"/>
        </w:rPr>
        <w:t>获取</w:t>
      </w:r>
      <w:r>
        <w:rPr>
          <w:rFonts w:hint="eastAsia" w:ascii="Times New Roman" w:hAnsi="Times New Roman" w:eastAsia="宋体" w:cs="宋体"/>
          <w:sz w:val="24"/>
        </w:rPr>
        <w:t>采购文件后，上传响应文件前）在线向电子交易平台缴纳电子响应服务费</w:t>
      </w:r>
      <w:r>
        <w:rPr>
          <w:rFonts w:hint="eastAsia" w:ascii="Times New Roman" w:hAnsi="Times New Roman" w:eastAsia="宋体" w:cs="宋体"/>
          <w:sz w:val="24"/>
          <w:lang w:val="en-US" w:eastAsia="zh-CN"/>
        </w:rPr>
        <w:t>3</w:t>
      </w:r>
      <w:r>
        <w:rPr>
          <w:rFonts w:hint="eastAsia" w:ascii="Times New Roman" w:hAnsi="Times New Roman" w:eastAsia="宋体" w:cs="宋体"/>
          <w:sz w:val="24"/>
        </w:rPr>
        <w:t>00元/标段/次</w:t>
      </w:r>
      <w:r>
        <w:rPr>
          <w:rFonts w:hint="eastAsia" w:ascii="Times New Roman" w:hAnsi="Times New Roman" w:eastAsia="宋体" w:cs="宋体"/>
          <w:sz w:val="24"/>
          <w:lang w:eastAsia="zh-CN"/>
        </w:rPr>
        <w:t>。</w:t>
      </w:r>
    </w:p>
    <w:p w14:paraId="33C1F89B">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imes New Roman" w:hAnsi="Times New Roman" w:eastAsia="宋体" w:cs="宋体"/>
          <w:sz w:val="24"/>
          <w:lang w:val="en-US" w:eastAsia="zh-CN"/>
        </w:rPr>
      </w:pPr>
      <w:r>
        <w:rPr>
          <w:rFonts w:hint="eastAsia" w:ascii="Times New Roman" w:hAnsi="Times New Roman" w:eastAsia="宋体"/>
          <w:color w:val="auto"/>
          <w:sz w:val="24"/>
          <w:highlight w:val="none"/>
        </w:rPr>
        <w:t>（</w:t>
      </w:r>
      <w:r>
        <w:rPr>
          <w:rFonts w:hint="eastAsia" w:ascii="Times New Roman" w:hAnsi="Times New Roman" w:eastAsia="宋体" w:cs="宋体"/>
          <w:sz w:val="24"/>
        </w:rPr>
        <w:t>4）</w:t>
      </w:r>
      <w:r>
        <w:rPr>
          <w:rFonts w:hint="eastAsia" w:ascii="Times New Roman" w:hAnsi="Times New Roman" w:eastAsia="宋体" w:cs="宋体"/>
          <w:sz w:val="24"/>
          <w:lang w:val="en-US" w:eastAsia="zh-CN"/>
        </w:rPr>
        <w:t>成交单位需向内蒙古产权交易中心有限责任公司招标管理部门缴纳交易服务费的，收取办法为：</w:t>
      </w:r>
      <w:r>
        <w:rPr>
          <w:rFonts w:hint="default" w:ascii="Times New Roman" w:hAnsi="Times New Roman" w:eastAsia="宋体" w:cs="宋体"/>
          <w:sz w:val="24"/>
          <w:lang w:val="en-US" w:eastAsia="zh-CN"/>
        </w:rPr>
        <w:fldChar w:fldCharType="begin"/>
      </w:r>
      <w:r>
        <w:rPr>
          <w:rFonts w:hint="default" w:ascii="Times New Roman" w:hAnsi="Times New Roman" w:eastAsia="宋体" w:cs="宋体"/>
          <w:sz w:val="24"/>
          <w:lang w:val="en-US" w:eastAsia="zh-CN"/>
        </w:rPr>
        <w:instrText xml:space="preserve"> = 1 \* GB3 \* MERGEFORMAT </w:instrText>
      </w:r>
      <w:r>
        <w:rPr>
          <w:rFonts w:hint="default" w:ascii="Times New Roman" w:hAnsi="Times New Roman" w:eastAsia="宋体" w:cs="宋体"/>
          <w:sz w:val="24"/>
          <w:lang w:val="en-US" w:eastAsia="zh-CN"/>
        </w:rPr>
        <w:fldChar w:fldCharType="separate"/>
      </w:r>
      <w:r>
        <w:rPr>
          <w:rFonts w:hint="eastAsia" w:ascii="Times New Roman" w:hAnsi="Times New Roman" w:eastAsia="宋体" w:cs="宋体"/>
          <w:sz w:val="24"/>
        </w:rPr>
        <w:t>①</w:t>
      </w:r>
      <w:r>
        <w:rPr>
          <w:rFonts w:hint="default" w:ascii="Times New Roman" w:hAnsi="Times New Roman" w:eastAsia="宋体" w:cs="宋体"/>
          <w:sz w:val="24"/>
          <w:lang w:val="en-US" w:eastAsia="zh-CN"/>
        </w:rPr>
        <w:fldChar w:fldCharType="end"/>
      </w:r>
      <w:r>
        <w:rPr>
          <w:rFonts w:hint="eastAsia" w:ascii="Times New Roman" w:hAnsi="Times New Roman" w:eastAsia="宋体" w:cs="宋体"/>
          <w:sz w:val="24"/>
          <w:lang w:val="en-US" w:eastAsia="zh-CN"/>
        </w:rPr>
        <w:t>成交金额大于500000元（50万元）按成交价的1‰收取，成交金额低于500000元（50万元）按500.00元收取。</w:t>
      </w:r>
      <w:r>
        <w:rPr>
          <w:rFonts w:hint="default" w:ascii="Times New Roman" w:hAnsi="Times New Roman" w:eastAsia="宋体" w:cs="宋体"/>
          <w:sz w:val="24"/>
          <w:lang w:val="en-US" w:eastAsia="zh-CN"/>
        </w:rPr>
        <w:t>②</w:t>
      </w:r>
      <w:r>
        <w:rPr>
          <w:rFonts w:hint="eastAsia" w:ascii="Times New Roman" w:hAnsi="Times New Roman" w:eastAsia="宋体" w:cs="宋体"/>
          <w:sz w:val="24"/>
          <w:lang w:val="en-US" w:eastAsia="zh-CN"/>
        </w:rPr>
        <w:t>框架采购和入围的成交单位，场地交易服务费为 1000 元/标段/次。场地交易服务费缴纳方式为公对公转账。汇款信息如下：</w:t>
      </w:r>
    </w:p>
    <w:p w14:paraId="4255B13C">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imes New Roman" w:hAnsi="Times New Roman" w:eastAsia="宋体" w:cs="宋体"/>
          <w:sz w:val="24"/>
          <w:lang w:val="en-US" w:eastAsia="zh-CN"/>
        </w:rPr>
      </w:pPr>
      <w:r>
        <w:rPr>
          <w:rFonts w:hint="eastAsia" w:ascii="Times New Roman" w:hAnsi="Times New Roman" w:eastAsia="宋体" w:cs="宋体"/>
          <w:sz w:val="24"/>
          <w:lang w:val="en-US" w:eastAsia="zh-CN"/>
        </w:rPr>
        <w:t>收款单位名称：内蒙古产权交易中心有限责任公司</w:t>
      </w:r>
    </w:p>
    <w:p w14:paraId="1C23165B">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imes New Roman" w:hAnsi="Times New Roman" w:eastAsia="宋体" w:cs="宋体"/>
          <w:sz w:val="24"/>
          <w:lang w:val="en-US" w:eastAsia="zh-CN"/>
        </w:rPr>
      </w:pPr>
      <w:r>
        <w:rPr>
          <w:rFonts w:hint="eastAsia" w:ascii="Times New Roman" w:hAnsi="Times New Roman" w:eastAsia="宋体" w:cs="宋体"/>
          <w:sz w:val="24"/>
          <w:lang w:val="en-US" w:eastAsia="zh-CN"/>
        </w:rPr>
        <w:t>开户行：华夏银行呼和浩特分行营业部</w:t>
      </w:r>
    </w:p>
    <w:p w14:paraId="14862588">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imes New Roman" w:hAnsi="Times New Roman" w:eastAsia="宋体" w:cs="宋体"/>
          <w:sz w:val="24"/>
          <w:lang w:val="en-US" w:eastAsia="zh-CN"/>
        </w:rPr>
      </w:pPr>
      <w:r>
        <w:rPr>
          <w:rFonts w:hint="eastAsia" w:ascii="Times New Roman" w:hAnsi="Times New Roman" w:eastAsia="宋体" w:cs="宋体"/>
          <w:sz w:val="24"/>
          <w:lang w:val="en-US" w:eastAsia="zh-CN"/>
        </w:rPr>
        <w:t xml:space="preserve">账  号：5830200001819100031131 </w:t>
      </w:r>
    </w:p>
    <w:p w14:paraId="6013CDB4">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imes New Roman" w:hAnsi="Times New Roman" w:eastAsia="宋体" w:cs="宋体"/>
          <w:sz w:val="24"/>
          <w:lang w:val="en-US" w:eastAsia="zh-CN"/>
        </w:rPr>
      </w:pPr>
      <w:r>
        <w:rPr>
          <w:rFonts w:hint="eastAsia" w:ascii="Times New Roman" w:hAnsi="Times New Roman" w:eastAsia="宋体" w:cs="宋体"/>
          <w:sz w:val="24"/>
          <w:lang w:val="en-US" w:eastAsia="zh-CN"/>
        </w:rPr>
        <w:t>行  号：304191001951</w:t>
      </w:r>
    </w:p>
    <w:p w14:paraId="4E152850">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imes New Roman" w:hAnsi="Times New Roman" w:eastAsia="宋体" w:cs="宋体"/>
          <w:sz w:val="24"/>
        </w:rPr>
      </w:pPr>
      <w:r>
        <w:rPr>
          <w:rFonts w:hint="eastAsia" w:ascii="Times New Roman" w:hAnsi="Times New Roman" w:eastAsia="宋体" w:cs="宋体"/>
          <w:sz w:val="24"/>
        </w:rPr>
        <w:t>（</w:t>
      </w:r>
      <w:r>
        <w:rPr>
          <w:rFonts w:hint="eastAsia" w:ascii="Times New Roman" w:hAnsi="Times New Roman" w:eastAsia="宋体" w:cs="宋体"/>
          <w:sz w:val="24"/>
          <w:lang w:val="en-US" w:eastAsia="zh-CN"/>
        </w:rPr>
        <w:t>5</w:t>
      </w:r>
      <w:r>
        <w:rPr>
          <w:rFonts w:hint="eastAsia" w:ascii="Times New Roman" w:hAnsi="Times New Roman" w:eastAsia="宋体" w:cs="宋体"/>
          <w:sz w:val="24"/>
        </w:rPr>
        <w:t>）</w:t>
      </w:r>
      <w:r>
        <w:rPr>
          <w:rFonts w:hint="eastAsia" w:ascii="Times New Roman" w:hAnsi="Times New Roman" w:eastAsia="宋体" w:cs="宋体"/>
          <w:sz w:val="24"/>
          <w:lang w:val="en-US" w:eastAsia="zh-CN"/>
        </w:rPr>
        <w:t>成交供应商须在成交结果公告发布后次日起，三个工作日内完成代理服务费、场地服务费的缴纳，如未按时缴纳费用将按照《不良行为供应商管理办法》进行处罚。</w:t>
      </w:r>
    </w:p>
    <w:p w14:paraId="32422C44">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default" w:ascii="Times New Roman" w:hAnsi="Times New Roman" w:eastAsia="宋体" w:cs="Times New Roman"/>
          <w:b/>
          <w:color w:val="auto"/>
          <w:sz w:val="28"/>
          <w:szCs w:val="28"/>
          <w:highlight w:val="none"/>
          <w:lang w:val="en-US" w:eastAsia="zh-CN"/>
        </w:rPr>
      </w:pPr>
      <w:bookmarkStart w:id="54" w:name="_Toc711"/>
      <w:bookmarkStart w:id="55" w:name="_Toc9491"/>
      <w:r>
        <w:rPr>
          <w:rFonts w:hint="eastAsia" w:ascii="Times New Roman" w:hAnsi="Times New Roman" w:eastAsia="宋体" w:cs="Times New Roman"/>
          <w:b/>
          <w:color w:val="auto"/>
          <w:sz w:val="28"/>
          <w:szCs w:val="28"/>
          <w:highlight w:val="none"/>
          <w:lang w:val="en-US" w:eastAsia="zh-CN"/>
        </w:rPr>
        <w:t>公告发布的媒介</w:t>
      </w:r>
      <w:bookmarkEnd w:id="54"/>
      <w:bookmarkEnd w:id="55"/>
    </w:p>
    <w:p w14:paraId="4A85FBE5">
      <w:pPr>
        <w:pageBreakBefore w:val="0"/>
        <w:kinsoku/>
        <w:overflowPunct/>
        <w:topLinePunct w:val="0"/>
        <w:bidi w:val="0"/>
        <w:spacing w:before="240" w:line="360" w:lineRule="auto"/>
        <w:ind w:firstLine="480" w:firstLineChars="200"/>
        <w:contextualSpacing/>
        <w:textAlignment w:val="auto"/>
        <w:rPr>
          <w:rFonts w:hint="eastAsia" w:ascii="Times New Roman" w:hAnsi="Times New Roman" w:eastAsia="宋体"/>
          <w:color w:val="auto"/>
          <w:sz w:val="24"/>
          <w:highlight w:val="none"/>
        </w:rPr>
      </w:pPr>
      <w:bookmarkStart w:id="56" w:name="_Toc39827471"/>
      <w:bookmarkStart w:id="57" w:name="_Toc487729876"/>
      <w:bookmarkStart w:id="58" w:name="_Toc487214774"/>
      <w:bookmarkStart w:id="59" w:name="_Toc449193539"/>
      <w:bookmarkStart w:id="60" w:name="_Toc39827536"/>
      <w:bookmarkStart w:id="61" w:name="_Toc38213886"/>
      <w:bookmarkStart w:id="62" w:name="_Toc39827101"/>
      <w:bookmarkStart w:id="63" w:name="_Toc449194190"/>
      <w:r>
        <w:rPr>
          <w:rFonts w:hint="eastAsia" w:ascii="Times New Roman" w:hAnsi="Times New Roman" w:eastAsia="宋体"/>
          <w:color w:val="auto"/>
          <w:sz w:val="24"/>
          <w:highlight w:val="none"/>
        </w:rPr>
        <w:t>本次公告在《中国招标投标公共服务平台》（www.cebpubservice.com）、《内蒙古招标投标公共服务平台》（www.nmgztb.com.cn）</w:t>
      </w:r>
      <w:r>
        <w:rPr>
          <w:rFonts w:hint="eastAsia" w:eastAsia="宋体"/>
          <w:color w:val="auto"/>
          <w:sz w:val="24"/>
          <w:highlight w:val="none"/>
          <w:lang w:eastAsia="zh-CN"/>
        </w:rPr>
        <w:t>、</w:t>
      </w:r>
      <w:r>
        <w:rPr>
          <w:rFonts w:hint="eastAsia" w:ascii="Times New Roman" w:hAnsi="Times New Roman" w:eastAsia="宋体"/>
          <w:color w:val="auto"/>
          <w:sz w:val="24"/>
          <w:highlight w:val="none"/>
        </w:rPr>
        <w:t>《内蒙古电力集团电子采购系统》（http://guocai-impc.cppchina.cn）、</w:t>
      </w:r>
      <w:r>
        <w:rPr>
          <w:rFonts w:hint="eastAsia" w:ascii="Times New Roman" w:hAnsi="Times New Roman" w:eastAsia="宋体"/>
          <w:color w:val="auto"/>
          <w:sz w:val="24"/>
          <w:highlight w:val="none"/>
          <w:lang w:eastAsia="zh-CN"/>
        </w:rPr>
        <w:t>《</w:t>
      </w:r>
      <w:r>
        <w:rPr>
          <w:rFonts w:hint="eastAsia" w:ascii="Times New Roman" w:hAnsi="Times New Roman" w:eastAsia="宋体"/>
          <w:color w:val="auto"/>
          <w:sz w:val="24"/>
          <w:highlight w:val="none"/>
          <w:lang w:val="en-US" w:eastAsia="zh-CN"/>
        </w:rPr>
        <w:t>内蒙古自治区企业阳光采购服务平台</w:t>
      </w:r>
      <w:r>
        <w:rPr>
          <w:rFonts w:hint="eastAsia" w:ascii="Times New Roman" w:hAnsi="Times New Roman" w:eastAsia="宋体"/>
          <w:color w:val="auto"/>
          <w:sz w:val="24"/>
          <w:highlight w:val="none"/>
          <w:lang w:eastAsia="zh-CN"/>
        </w:rPr>
        <w:t>》（</w:t>
      </w:r>
      <w:r>
        <w:rPr>
          <w:rFonts w:hint="eastAsia" w:ascii="Times New Roman" w:hAnsi="Times New Roman" w:eastAsia="宋体"/>
          <w:color w:val="auto"/>
          <w:sz w:val="24"/>
          <w:highlight w:val="none"/>
        </w:rPr>
        <w:t>www.</w:t>
      </w:r>
      <w:r>
        <w:rPr>
          <w:rFonts w:hint="eastAsia" w:ascii="Times New Roman" w:hAnsi="Times New Roman" w:eastAsia="宋体"/>
          <w:color w:val="auto"/>
          <w:sz w:val="24"/>
          <w:highlight w:val="none"/>
          <w:lang w:val="en-US" w:eastAsia="zh-CN"/>
        </w:rPr>
        <w:t>nmgygcg.ejy365</w:t>
      </w:r>
      <w:r>
        <w:rPr>
          <w:rFonts w:hint="eastAsia" w:ascii="Times New Roman" w:hAnsi="Times New Roman" w:eastAsia="宋体"/>
          <w:color w:val="auto"/>
          <w:sz w:val="24"/>
          <w:highlight w:val="none"/>
        </w:rPr>
        <w:t>.com</w:t>
      </w:r>
      <w:r>
        <w:rPr>
          <w:rFonts w:hint="eastAsia" w:ascii="Times New Roman" w:hAnsi="Times New Roman" w:eastAsia="宋体"/>
          <w:color w:val="auto"/>
          <w:sz w:val="24"/>
          <w:highlight w:val="none"/>
          <w:lang w:eastAsia="zh-CN"/>
        </w:rPr>
        <w:t>）</w:t>
      </w:r>
      <w:r>
        <w:rPr>
          <w:rFonts w:hint="eastAsia" w:ascii="Times New Roman" w:hAnsi="Times New Roman" w:eastAsia="宋体"/>
          <w:color w:val="auto"/>
          <w:sz w:val="24"/>
          <w:highlight w:val="none"/>
        </w:rPr>
        <w:t>同时发布，其它媒介转发无效。</w:t>
      </w:r>
      <w:bookmarkEnd w:id="56"/>
      <w:bookmarkEnd w:id="57"/>
      <w:bookmarkEnd w:id="58"/>
      <w:bookmarkEnd w:id="59"/>
      <w:bookmarkEnd w:id="60"/>
      <w:bookmarkEnd w:id="61"/>
      <w:bookmarkEnd w:id="62"/>
      <w:bookmarkEnd w:id="63"/>
    </w:p>
    <w:p w14:paraId="1930A2D0">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s="Times New Roman"/>
          <w:color w:val="auto"/>
          <w:sz w:val="24"/>
          <w:highlight w:val="none"/>
          <w:lang w:eastAsia="zh-CN"/>
        </w:rPr>
      </w:pPr>
      <w:r>
        <w:rPr>
          <w:rFonts w:hint="eastAsia" w:ascii="Times New Roman" w:hAnsi="Times New Roman" w:eastAsia="宋体" w:cs="Times New Roman"/>
          <w:color w:val="auto"/>
          <w:sz w:val="24"/>
          <w:highlight w:val="none"/>
        </w:rPr>
        <w:t>采购人：</w:t>
      </w:r>
      <w:r>
        <w:rPr>
          <w:rFonts w:hint="eastAsia" w:ascii="Times New Roman" w:hAnsi="Times New Roman" w:eastAsia="宋体" w:cs="Times New Roman"/>
          <w:color w:val="auto"/>
          <w:sz w:val="24"/>
          <w:highlight w:val="none"/>
          <w:lang w:eastAsia="zh-CN"/>
        </w:rPr>
        <w:t>内蒙古电力（集团）有限责任公司数字研究分公司</w:t>
      </w:r>
    </w:p>
    <w:p w14:paraId="30948ED1">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联系人</w:t>
      </w:r>
      <w:r>
        <w:rPr>
          <w:rFonts w:hint="eastAsia"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lang w:val="en-US" w:eastAsia="zh-CN"/>
        </w:rPr>
        <w:t>李仲瀚</w:t>
      </w:r>
    </w:p>
    <w:p w14:paraId="4549FB50">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监督</w:t>
      </w:r>
      <w:r>
        <w:rPr>
          <w:rFonts w:hint="eastAsia" w:ascii="Times New Roman" w:hAnsi="Times New Roman" w:eastAsia="宋体" w:cs="Times New Roman"/>
          <w:color w:val="auto"/>
          <w:sz w:val="24"/>
          <w:highlight w:val="none"/>
        </w:rPr>
        <w:t>电话：0471-</w:t>
      </w:r>
      <w:r>
        <w:rPr>
          <w:rFonts w:hint="eastAsia" w:ascii="Times New Roman" w:hAnsi="Times New Roman" w:eastAsia="宋体" w:cs="Times New Roman"/>
          <w:color w:val="auto"/>
          <w:sz w:val="24"/>
          <w:highlight w:val="none"/>
          <w:lang w:val="en-US" w:eastAsia="zh-CN"/>
        </w:rPr>
        <w:t>6227972</w:t>
      </w:r>
    </w:p>
    <w:p w14:paraId="37CC53DC">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s="Times New Roman"/>
          <w:color w:val="auto"/>
          <w:sz w:val="24"/>
          <w:highlight w:val="none"/>
        </w:rPr>
      </w:pPr>
    </w:p>
    <w:p w14:paraId="007A2932">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采购代理机构：内蒙古中实工程</w:t>
      </w:r>
      <w:bookmarkStart w:id="64" w:name="_GoBack"/>
      <w:bookmarkEnd w:id="64"/>
      <w:r>
        <w:rPr>
          <w:rFonts w:hint="eastAsia" w:ascii="Times New Roman" w:hAnsi="Times New Roman" w:eastAsia="宋体" w:cs="Times New Roman"/>
          <w:color w:val="auto"/>
          <w:sz w:val="24"/>
          <w:highlight w:val="none"/>
        </w:rPr>
        <w:t>招标咨询有限责任公司</w:t>
      </w:r>
    </w:p>
    <w:p w14:paraId="42CE17DE">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地    址：呼和浩特市赛罕区鄂尔多斯东街12号银联大厦10层</w:t>
      </w:r>
    </w:p>
    <w:p w14:paraId="0EFFEBE4">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联 系 人：崔子剑</w:t>
      </w:r>
    </w:p>
    <w:p w14:paraId="2F1575A3">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联系电话：0471-5223673</w:t>
      </w:r>
    </w:p>
    <w:p w14:paraId="0EC2634B">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电子邮箱：zszbyb@126.com</w:t>
      </w:r>
    </w:p>
    <w:p w14:paraId="608F04D0">
      <w:pPr>
        <w:keepNext w:val="0"/>
        <w:keepLines w:val="0"/>
        <w:pageBreakBefore w:val="0"/>
        <w:kinsoku/>
        <w:wordWrap/>
        <w:overflowPunct/>
        <w:topLinePunct w:val="0"/>
        <w:autoSpaceDE/>
        <w:autoSpaceDN/>
        <w:bidi w:val="0"/>
        <w:snapToGrid/>
        <w:spacing w:line="360" w:lineRule="auto"/>
        <w:ind w:firstLine="0" w:firstLineChars="0"/>
        <w:jc w:val="right"/>
        <w:textAlignment w:val="auto"/>
      </w:pPr>
      <w:r>
        <w:rPr>
          <w:rFonts w:hint="eastAsia" w:eastAsia="宋体" w:cs="Arial"/>
          <w:b/>
          <w:sz w:val="24"/>
          <w:highlight w:val="none"/>
          <w:lang w:eastAsia="zh-CN"/>
        </w:rPr>
        <w:t>202</w:t>
      </w:r>
      <w:r>
        <w:rPr>
          <w:rFonts w:hint="eastAsia" w:eastAsia="宋体" w:cs="Arial"/>
          <w:b/>
          <w:sz w:val="24"/>
          <w:highlight w:val="none"/>
          <w:lang w:val="en-US" w:eastAsia="zh-CN"/>
        </w:rPr>
        <w:t>4</w:t>
      </w:r>
      <w:r>
        <w:rPr>
          <w:rFonts w:hint="eastAsia" w:eastAsia="宋体" w:cs="Arial"/>
          <w:b/>
          <w:sz w:val="24"/>
          <w:highlight w:val="none"/>
          <w:lang w:eastAsia="zh-CN"/>
        </w:rPr>
        <w:t>年</w:t>
      </w:r>
      <w:r>
        <w:rPr>
          <w:rFonts w:hint="eastAsia" w:eastAsia="宋体" w:cs="Arial"/>
          <w:b/>
          <w:sz w:val="24"/>
          <w:highlight w:val="none"/>
          <w:lang w:val="en-US" w:eastAsia="zh-CN"/>
        </w:rPr>
        <w:t>8</w:t>
      </w:r>
      <w:r>
        <w:rPr>
          <w:rFonts w:hint="eastAsia" w:ascii="Times New Roman" w:hAnsi="Times New Roman" w:eastAsia="宋体" w:cs="Arial"/>
          <w:b/>
          <w:sz w:val="24"/>
          <w:highlight w:val="none"/>
        </w:rPr>
        <w:t>月</w:t>
      </w:r>
      <w:r>
        <w:rPr>
          <w:rFonts w:hint="eastAsia" w:eastAsia="宋体" w:cs="Arial"/>
          <w:b/>
          <w:sz w:val="24"/>
          <w:highlight w:val="none"/>
          <w:lang w:val="en-US" w:eastAsia="zh-CN"/>
        </w:rPr>
        <w:t>26</w:t>
      </w:r>
      <w:r>
        <w:rPr>
          <w:rFonts w:hint="eastAsia" w:ascii="Times New Roman" w:hAnsi="Times New Roman" w:eastAsia="宋体" w:cs="Arial"/>
          <w:b/>
          <w:sz w:val="24"/>
          <w:highlight w:val="none"/>
        </w:rPr>
        <w:t>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panose1 w:val="02040602050305030304"/>
    <w:charset w:val="00"/>
    <w:family w:val="roman"/>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6B5035">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D6198DE">
                          <w:pPr>
                            <w:pStyle w:val="6"/>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0D6198DE">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15376E">
    <w:pPr>
      <w:pStyle w:val="7"/>
      <w:pBdr>
        <w:bottom w:val="none" w:color="auto" w:sz="0" w:space="1"/>
      </w:pBdr>
      <w:jc w:val="both"/>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F98834"/>
    <w:multiLevelType w:val="singleLevel"/>
    <w:tmpl w:val="A1F98834"/>
    <w:lvl w:ilvl="0" w:tentative="0">
      <w:start w:val="1"/>
      <w:numFmt w:val="chineseCounting"/>
      <w:suff w:val="nothing"/>
      <w:lvlText w:val="%1、"/>
      <w:lvlJc w:val="left"/>
      <w:pPr>
        <w:ind w:left="60" w:firstLine="420"/>
      </w:pPr>
      <w:rPr>
        <w:rFonts w:hint="eastAsia"/>
      </w:rPr>
    </w:lvl>
  </w:abstractNum>
  <w:abstractNum w:abstractNumId="1">
    <w:nsid w:val="ADA1E8BA"/>
    <w:multiLevelType w:val="singleLevel"/>
    <w:tmpl w:val="ADA1E8BA"/>
    <w:lvl w:ilvl="0" w:tentative="0">
      <w:start w:val="1"/>
      <w:numFmt w:val="decimal"/>
      <w:lvlText w:val="%1."/>
      <w:lvlJc w:val="left"/>
      <w:pPr>
        <w:ind w:left="425" w:hanging="425"/>
      </w:pPr>
      <w:rPr>
        <w:rFonts w:hint="default"/>
      </w:rPr>
    </w:lvl>
  </w:abstractNum>
  <w:abstractNum w:abstractNumId="2">
    <w:nsid w:val="E58314D6"/>
    <w:multiLevelType w:val="singleLevel"/>
    <w:tmpl w:val="E58314D6"/>
    <w:lvl w:ilvl="0" w:tentative="0">
      <w:start w:val="1"/>
      <w:numFmt w:val="decimal"/>
      <w:lvlText w:val="(%1)"/>
      <w:lvlJc w:val="left"/>
      <w:pPr>
        <w:tabs>
          <w:tab w:val="left" w:pos="-420"/>
        </w:tabs>
        <w:ind w:left="485" w:hanging="425"/>
      </w:pPr>
      <w:rPr>
        <w:rFonts w:hint="default"/>
      </w:rPr>
    </w:lvl>
  </w:abstractNum>
  <w:abstractNum w:abstractNumId="3">
    <w:nsid w:val="EF3AB938"/>
    <w:multiLevelType w:val="singleLevel"/>
    <w:tmpl w:val="EF3AB938"/>
    <w:lvl w:ilvl="0" w:tentative="0">
      <w:start w:val="2"/>
      <w:numFmt w:val="decimal"/>
      <w:lvlText w:val="%1."/>
      <w:lvlJc w:val="left"/>
      <w:pPr>
        <w:tabs>
          <w:tab w:val="left" w:pos="312"/>
        </w:tabs>
      </w:pPr>
    </w:lvl>
  </w:abstractNum>
  <w:abstractNum w:abstractNumId="4">
    <w:nsid w:val="49ECCDDC"/>
    <w:multiLevelType w:val="singleLevel"/>
    <w:tmpl w:val="49ECCDDC"/>
    <w:lvl w:ilvl="0" w:tentative="0">
      <w:start w:val="1"/>
      <w:numFmt w:val="decimal"/>
      <w:lvlText w:val="%1."/>
      <w:lvlJc w:val="left"/>
      <w:pPr>
        <w:ind w:left="425" w:hanging="425"/>
      </w:pPr>
      <w:rPr>
        <w:rFonts w:hint="default"/>
      </w:rPr>
    </w:lvl>
  </w:abstractNum>
  <w:abstractNum w:abstractNumId="5">
    <w:nsid w:val="54AEB51D"/>
    <w:multiLevelType w:val="singleLevel"/>
    <w:tmpl w:val="54AEB51D"/>
    <w:lvl w:ilvl="0" w:tentative="0">
      <w:start w:val="1"/>
      <w:numFmt w:val="decimal"/>
      <w:lvlText w:val="(%1)"/>
      <w:lvlJc w:val="left"/>
      <w:pPr>
        <w:tabs>
          <w:tab w:val="left" w:pos="-420"/>
        </w:tabs>
        <w:ind w:left="425" w:hanging="425"/>
      </w:pPr>
      <w:rPr>
        <w:rFonts w:hint="default"/>
      </w:rPr>
    </w:lvl>
  </w:abstractNum>
  <w:num w:numId="1">
    <w:abstractNumId w:val="0"/>
  </w:num>
  <w:num w:numId="2">
    <w:abstractNumId w:val="1"/>
  </w:num>
  <w:num w:numId="3">
    <w:abstractNumId w:val="4"/>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39A60B53"/>
    <w:rsid w:val="39A60B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BodyText1I2"/>
    <w:basedOn w:val="1"/>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styleId="3">
    <w:name w:val="Body Text"/>
    <w:basedOn w:val="1"/>
    <w:next w:val="4"/>
    <w:qFormat/>
    <w:uiPriority w:val="0"/>
    <w:rPr>
      <w:rFonts w:ascii="宋体" w:hAnsi="宋体"/>
      <w:kern w:val="0"/>
      <w:sz w:val="28"/>
    </w:rPr>
  </w:style>
  <w:style w:type="paragraph" w:styleId="4">
    <w:name w:val="Title"/>
    <w:basedOn w:val="1"/>
    <w:next w:val="1"/>
    <w:qFormat/>
    <w:uiPriority w:val="0"/>
    <w:pPr>
      <w:spacing w:before="240" w:after="60" w:line="460" w:lineRule="exact"/>
      <w:jc w:val="center"/>
      <w:outlineLvl w:val="0"/>
    </w:pPr>
    <w:rPr>
      <w:rFonts w:ascii="Arial" w:hAnsi="Arial"/>
      <w:b/>
      <w:spacing w:val="14"/>
      <w:kern w:val="24"/>
      <w:sz w:val="32"/>
      <w:szCs w:val="20"/>
    </w:rPr>
  </w:style>
  <w:style w:type="paragraph" w:styleId="5">
    <w:name w:val="Body Text Indent"/>
    <w:basedOn w:val="1"/>
    <w:qFormat/>
    <w:uiPriority w:val="0"/>
    <w:pPr>
      <w:ind w:firstLine="560" w:firstLineChars="200"/>
    </w:pPr>
    <w:rPr>
      <w:rFonts w:ascii="Book Antiqua" w:hAnsi="Book Antiqua"/>
      <w:kern w:val="0"/>
      <w:sz w:val="28"/>
    </w:rPr>
  </w:style>
  <w:style w:type="paragraph" w:styleId="6">
    <w:name w:val="footer"/>
    <w:basedOn w:val="1"/>
    <w:unhideWhenUsed/>
    <w:qFormat/>
    <w:uiPriority w:val="99"/>
    <w:pPr>
      <w:tabs>
        <w:tab w:val="center" w:pos="4153"/>
        <w:tab w:val="right" w:pos="8306"/>
      </w:tabs>
      <w:snapToGrid w:val="0"/>
      <w:jc w:val="left"/>
    </w:pPr>
    <w:rPr>
      <w:rFonts w:ascii="Calibri" w:hAnsi="Calibri"/>
      <w:kern w:val="0"/>
      <w:sz w:val="18"/>
      <w:szCs w:val="18"/>
    </w:rPr>
  </w:style>
  <w:style w:type="paragraph" w:styleId="7">
    <w:name w:val="header"/>
    <w:basedOn w:val="1"/>
    <w:unhideWhenUsed/>
    <w:qFormat/>
    <w:uiPriority w:val="0"/>
    <w:pPr>
      <w:pBdr>
        <w:bottom w:val="single" w:color="auto" w:sz="6" w:space="1"/>
      </w:pBdr>
      <w:tabs>
        <w:tab w:val="center" w:pos="4153"/>
        <w:tab w:val="right" w:pos="8306"/>
      </w:tabs>
      <w:snapToGrid w:val="0"/>
      <w:jc w:val="center"/>
    </w:pPr>
    <w:rPr>
      <w:rFonts w:ascii="Calibri" w:hAnsi="Calibri"/>
      <w:kern w:val="0"/>
      <w:sz w:val="18"/>
      <w:szCs w:val="18"/>
    </w:rPr>
  </w:style>
  <w:style w:type="paragraph" w:styleId="8">
    <w:name w:val="Body Text First Indent"/>
    <w:basedOn w:val="3"/>
    <w:next w:val="1"/>
    <w:uiPriority w:val="0"/>
    <w:pPr>
      <w:spacing w:after="120"/>
      <w:ind w:firstLine="420" w:firstLineChars="100"/>
    </w:pPr>
    <w:rPr>
      <w:rFonts w:ascii="Calibri" w:hAnsi="Calibri"/>
      <w:kern w:val="2"/>
      <w:sz w:val="21"/>
      <w:szCs w:val="22"/>
    </w:rPr>
  </w:style>
  <w:style w:type="paragraph" w:styleId="9">
    <w:name w:val="Body Text First Indent 2"/>
    <w:basedOn w:val="5"/>
    <w:next w:val="8"/>
    <w:unhideWhenUsed/>
    <w:qFormat/>
    <w:uiPriority w:val="99"/>
    <w:pPr>
      <w:ind w:firstLine="42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2024-08-26T06:45:00Z</dcterms:created>
  <dc:creator>赵灵燕</dc:creator>
  <cp:lastModifiedBy>赵灵燕</cp:lastModifiedBy>
  <dcterms:modified xsi:type="dcterms:W3CDTF">2024-08-26T06:47:07Z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7ADFEED9B6044922972E21A223748214_11</vt:lpwstr>
  </property>
</Properties>
</file>