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b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附件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val="en-US" w:eastAsia="zh-CN"/>
        </w:rPr>
        <w:t>采购明细表详见附件</w:t>
      </w:r>
    </w:p>
    <w:tbl>
      <w:tblPr>
        <w:tblStyle w:val="5"/>
        <w:tblW w:w="0" w:type="auto"/>
        <w:tblInd w:w="-4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788"/>
        <w:gridCol w:w="727"/>
        <w:gridCol w:w="1248"/>
        <w:gridCol w:w="950"/>
        <w:gridCol w:w="592"/>
        <w:gridCol w:w="716"/>
        <w:gridCol w:w="1083"/>
        <w:gridCol w:w="1055"/>
        <w:gridCol w:w="861"/>
        <w:gridCol w:w="1602"/>
        <w:gridCol w:w="685"/>
        <w:gridCol w:w="594"/>
        <w:gridCol w:w="698"/>
        <w:gridCol w:w="10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包件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采购申请编号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行项目编号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物料描述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物料补充描述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项目单位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子项目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采购方式</w:t>
            </w: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交货期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资金来源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包件9（视频监控系统）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3100188660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视频监控系统,系统扩容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47360.00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47360.00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鄂电鄂托克前旗供电公司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鄂托克前旗特布德35kV变电站10kV箱变改造工程（鄂局2024年主网技改）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2024年7月30日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生产技改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内蒙古宏宇电子科技有限公司18100188982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457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47360.00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wMmRjZTRlZDg5YjcyZTJiYWQyNzQ5MTllYzhmMGYifQ=="/>
  </w:docVars>
  <w:rsids>
    <w:rsidRoot w:val="441A3561"/>
    <w:rsid w:val="441A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autoRedefine/>
    <w:qFormat/>
    <w:uiPriority w:val="0"/>
    <w:pPr>
      <w:spacing w:after="120" w:line="240" w:lineRule="auto"/>
      <w:ind w:left="420" w:leftChars="200" w:firstLine="420" w:firstLineChars="20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paragraph" w:customStyle="1" w:styleId="3">
    <w:name w:val="BodyTextIndent"/>
    <w:basedOn w:val="1"/>
    <w:autoRedefine/>
    <w:qFormat/>
    <w:uiPriority w:val="0"/>
    <w:pPr>
      <w:spacing w:after="120" w:line="360" w:lineRule="auto"/>
      <w:ind w:left="420" w:leftChars="200" w:firstLine="1041" w:firstLineChars="200"/>
      <w:jc w:val="both"/>
      <w:textAlignment w:val="baseline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2024-05-30T09:20:00Z</dcterms:created>
  <dc:creator>小雅</dc:creator>
  <cp:lastModifiedBy>小雅</cp:lastModifiedBy>
  <dcterms:modified xsi:type="dcterms:W3CDTF">2024-05-30T09:21:28Z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09FF944C64E040B3A4CE9F3F35FDEDB2_11</vt:lpwstr>
  </property>
</Properties>
</file>