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0" w:after="0" w:line="240" w:lineRule="auto"/>
        <w:jc w:val="center"/>
        <w:rPr>
          <w:rFonts w:hint="eastAsia" w:ascii="仿宋_GB2312" w:hAnsi="华文仿宋" w:eastAsia="仿宋_GB2312" w:cs="仿宋_GB2312"/>
          <w:sz w:val="36"/>
          <w:szCs w:val="36"/>
          <w:highlight w:val="none"/>
          <w:lang w:val="en-US" w:eastAsia="zh-CN"/>
        </w:rPr>
      </w:pPr>
      <w:r>
        <w:rPr>
          <w:rFonts w:hint="eastAsia" w:ascii="仿宋_GB2312" w:hAnsi="华文仿宋" w:eastAsia="仿宋_GB2312" w:cs="仿宋_GB2312"/>
          <w:sz w:val="36"/>
          <w:szCs w:val="36"/>
          <w:highlight w:val="none"/>
          <w:lang w:val="en-US" w:eastAsia="zh-CN"/>
        </w:rPr>
        <w:t>内蒙古电力（集团）有限责任公司内蒙古电力科学研究院分公司综合试验检测车车载设备大修项目</w:t>
      </w:r>
    </w:p>
    <w:p>
      <w:pPr>
        <w:pStyle w:val="3"/>
        <w:spacing w:before="0" w:after="0" w:line="240" w:lineRule="auto"/>
        <w:jc w:val="center"/>
        <w:rPr>
          <w:rFonts w:ascii="仿宋_GB2312" w:hAnsi="华文仿宋" w:eastAsia="仿宋_GB2312" w:cs="仿宋_GB2312"/>
          <w:sz w:val="36"/>
          <w:szCs w:val="36"/>
          <w:highlight w:val="none"/>
        </w:rPr>
      </w:pPr>
      <w:bookmarkStart w:id="76" w:name="_GoBack"/>
      <w:bookmarkEnd w:id="76"/>
      <w:r>
        <w:rPr>
          <w:rFonts w:hint="eastAsia" w:ascii="仿宋_GB2312" w:hAnsi="华文仿宋" w:eastAsia="仿宋_GB2312" w:cs="仿宋_GB2312"/>
          <w:sz w:val="36"/>
          <w:szCs w:val="36"/>
          <w:highlight w:val="none"/>
        </w:rPr>
        <w:t>竞争磋商公告</w:t>
      </w:r>
    </w:p>
    <w:p>
      <w:pPr>
        <w:keepNext/>
        <w:keepLines/>
        <w:widowControl w:val="0"/>
        <w:tabs>
          <w:tab w:val="left" w:pos="802"/>
        </w:tabs>
        <w:spacing w:before="0" w:after="0" w:line="520" w:lineRule="exact"/>
        <w:jc w:val="left"/>
        <w:outlineLvl w:val="1"/>
        <w:rPr>
          <w:rFonts w:ascii="仿宋_GB2312" w:hAnsi="华文仿宋" w:eastAsia="仿宋_GB2312" w:cs="仿宋_GB2312"/>
          <w:b/>
          <w:bCs/>
          <w:kern w:val="2"/>
          <w:sz w:val="24"/>
          <w:szCs w:val="24"/>
          <w:highlight w:val="none"/>
          <w:lang w:val="en-US" w:eastAsia="zh-CN" w:bidi="ar-SA"/>
        </w:rPr>
      </w:pPr>
      <w:bookmarkStart w:id="0" w:name="_Toc1450"/>
      <w:bookmarkStart w:id="1" w:name="_Toc14817"/>
      <w:bookmarkStart w:id="2" w:name="_Toc33968522"/>
      <w:bookmarkStart w:id="3" w:name="_Toc33690134"/>
      <w:bookmarkStart w:id="4" w:name="_Toc32264"/>
      <w:r>
        <w:rPr>
          <w:rFonts w:hint="eastAsia" w:ascii="仿宋_GB2312" w:hAnsi="华文仿宋" w:eastAsia="仿宋_GB2312" w:cs="仿宋_GB2312"/>
          <w:b/>
          <w:bCs/>
          <w:kern w:val="2"/>
          <w:sz w:val="24"/>
          <w:szCs w:val="24"/>
          <w:highlight w:val="none"/>
          <w:lang w:val="en-US" w:eastAsia="zh-CN" w:bidi="ar-SA"/>
        </w:rPr>
        <w:t>一、采购条件</w:t>
      </w:r>
      <w:bookmarkEnd w:id="0"/>
      <w:bookmarkEnd w:id="1"/>
      <w:bookmarkEnd w:id="2"/>
      <w:bookmarkEnd w:id="3"/>
      <w:bookmarkEnd w:id="4"/>
    </w:p>
    <w:p>
      <w:pPr>
        <w:widowControl w:val="0"/>
        <w:tabs>
          <w:tab w:val="left" w:pos="2688"/>
          <w:tab w:val="left" w:pos="3132"/>
          <w:tab w:val="left" w:pos="3772"/>
          <w:tab w:val="left" w:pos="6967"/>
          <w:tab w:val="left" w:pos="7570"/>
        </w:tabs>
        <w:spacing w:line="520" w:lineRule="exact"/>
        <w:ind w:firstLine="480" w:firstLineChars="200"/>
        <w:jc w:val="both"/>
        <w:rPr>
          <w:rFonts w:ascii="仿宋_GB2312" w:hAnsi="华文仿宋" w:eastAsia="仿宋_GB2312" w:cs="仿宋_GB2312"/>
          <w:b/>
          <w:kern w:val="2"/>
          <w:sz w:val="24"/>
          <w:szCs w:val="24"/>
          <w:highlight w:val="none"/>
          <w:u w:val="single"/>
          <w:lang w:val="zh-CN" w:eastAsia="zh-CN" w:bidi="zh-CN"/>
        </w:rPr>
      </w:pPr>
      <w:r>
        <w:rPr>
          <w:rFonts w:hint="eastAsia" w:ascii="仿宋_GB2312" w:hAnsi="华文仿宋" w:eastAsia="仿宋_GB2312" w:cs="仿宋_GB2312"/>
          <w:kern w:val="2"/>
          <w:sz w:val="24"/>
          <w:szCs w:val="24"/>
          <w:highlight w:val="none"/>
          <w:lang w:val="zh-CN" w:eastAsia="zh-CN" w:bidi="zh-CN"/>
        </w:rPr>
        <w:t>依据</w:t>
      </w:r>
      <w:r>
        <w:rPr>
          <w:rFonts w:hint="eastAsia" w:ascii="仿宋_GB2312" w:hAnsi="仿宋" w:eastAsia="仿宋_GB2312" w:cs="宋体"/>
          <w:kern w:val="2"/>
          <w:sz w:val="24"/>
          <w:szCs w:val="24"/>
          <w:highlight w:val="none"/>
          <w:lang w:val="zh-CN" w:eastAsia="zh-CN" w:bidi="zh-CN"/>
        </w:rPr>
        <w:t>内蒙古电力（集团）有限责任公司《采购管理标准》、《非招标采购管理办法</w:t>
      </w:r>
      <w:r>
        <w:rPr>
          <w:rFonts w:hint="eastAsia" w:ascii="宋体" w:hAnsi="宋体" w:eastAsia="宋体" w:cs="宋体"/>
          <w:kern w:val="2"/>
          <w:sz w:val="21"/>
          <w:szCs w:val="21"/>
          <w:highlight w:val="none"/>
          <w:lang w:val="zh-CN" w:eastAsia="zh-CN" w:bidi="zh-CN"/>
        </w:rPr>
        <w:t>》</w:t>
      </w:r>
      <w:r>
        <w:rPr>
          <w:rFonts w:hint="eastAsia" w:ascii="仿宋_GB2312" w:hAnsi="仿宋" w:eastAsia="仿宋_GB2312" w:cs="宋体"/>
          <w:kern w:val="2"/>
          <w:sz w:val="24"/>
          <w:szCs w:val="24"/>
          <w:highlight w:val="none"/>
          <w:lang w:val="zh-CN" w:eastAsia="zh-CN" w:bidi="zh-CN"/>
        </w:rPr>
        <w:t>、《国有企业采购操作规范》</w:t>
      </w:r>
      <w:r>
        <w:rPr>
          <w:rFonts w:hint="eastAsia" w:ascii="仿宋_GB2312" w:hAnsi="华文仿宋" w:eastAsia="仿宋_GB2312" w:cs="仿宋_GB2312"/>
          <w:kern w:val="2"/>
          <w:sz w:val="24"/>
          <w:szCs w:val="24"/>
          <w:highlight w:val="none"/>
          <w:lang w:val="zh-CN" w:eastAsia="zh-CN" w:bidi="zh-CN"/>
        </w:rPr>
        <w:t>及《国有企业采购操作规范》释义等相关的规定，内蒙古电力（集团）有限责任公司内蒙古电力科学研究院分公司委托</w:t>
      </w:r>
      <w:r>
        <w:rPr>
          <w:rFonts w:hint="eastAsia" w:ascii="仿宋_GB2312" w:hAnsi="华文仿宋" w:eastAsia="仿宋_GB2312" w:cs="仿宋_GB2312"/>
          <w:kern w:val="2"/>
          <w:sz w:val="24"/>
          <w:szCs w:val="24"/>
          <w:highlight w:val="none"/>
          <w:u w:val="none"/>
          <w:lang w:val="zh-CN" w:eastAsia="zh-CN" w:bidi="zh-CN"/>
        </w:rPr>
        <w:t>内蒙古中实工程招标咨询有限责任公司</w:t>
      </w:r>
      <w:r>
        <w:rPr>
          <w:rFonts w:hint="eastAsia" w:ascii="仿宋_GB2312" w:hAnsi="华文仿宋" w:eastAsia="仿宋_GB2312" w:cs="仿宋_GB2312"/>
          <w:kern w:val="2"/>
          <w:sz w:val="24"/>
          <w:szCs w:val="24"/>
          <w:highlight w:val="none"/>
          <w:lang w:val="zh-CN" w:eastAsia="zh-CN" w:bidi="zh-CN"/>
        </w:rPr>
        <w:t>对</w:t>
      </w:r>
      <w:r>
        <w:rPr>
          <w:rFonts w:hint="eastAsia" w:ascii="仿宋_GB2312" w:hAnsi="华文仿宋" w:eastAsia="仿宋_GB2312" w:cs="仿宋_GB2312"/>
          <w:kern w:val="2"/>
          <w:sz w:val="24"/>
          <w:szCs w:val="24"/>
          <w:highlight w:val="none"/>
          <w:u w:val="single"/>
          <w:lang w:val="en-US" w:eastAsia="zh-CN" w:bidi="zh-CN"/>
        </w:rPr>
        <w:t>内蒙古电力（集团）有限责任公司内蒙古电力科学研究院分公司综合试验检测车车载设备大修项目</w:t>
      </w:r>
      <w:r>
        <w:rPr>
          <w:rFonts w:hint="eastAsia" w:ascii="仿宋_GB2312" w:hAnsi="华文仿宋" w:eastAsia="仿宋_GB2312" w:cs="仿宋_GB2312"/>
          <w:kern w:val="2"/>
          <w:sz w:val="24"/>
          <w:szCs w:val="24"/>
          <w:highlight w:val="none"/>
          <w:lang w:val="zh-CN" w:eastAsia="zh-CN" w:bidi="zh-CN"/>
        </w:rPr>
        <w:t>采用竞争磋商的方式进行采购，欢迎符合条件的单位报名参加。</w:t>
      </w:r>
    </w:p>
    <w:p>
      <w:pPr>
        <w:keepNext/>
        <w:keepLines/>
        <w:widowControl w:val="0"/>
        <w:tabs>
          <w:tab w:val="left" w:pos="802"/>
        </w:tabs>
        <w:spacing w:before="0" w:after="0" w:line="520" w:lineRule="exact"/>
        <w:jc w:val="left"/>
        <w:outlineLvl w:val="1"/>
        <w:rPr>
          <w:rFonts w:ascii="仿宋_GB2312" w:hAnsi="华文仿宋" w:eastAsia="仿宋_GB2312" w:cs="仿宋_GB2312"/>
          <w:b/>
          <w:bCs/>
          <w:kern w:val="2"/>
          <w:sz w:val="24"/>
          <w:szCs w:val="24"/>
          <w:highlight w:val="none"/>
          <w:lang w:val="en-US" w:eastAsia="zh-CN" w:bidi="ar-SA"/>
        </w:rPr>
      </w:pPr>
      <w:bookmarkStart w:id="5" w:name="_bookmark3"/>
      <w:bookmarkEnd w:id="5"/>
      <w:bookmarkStart w:id="6" w:name="_Toc33690135"/>
      <w:bookmarkStart w:id="7" w:name="_Toc16489"/>
      <w:bookmarkStart w:id="8" w:name="_Toc25685"/>
      <w:bookmarkStart w:id="9" w:name="_Toc14423"/>
      <w:bookmarkStart w:id="10" w:name="_Toc33968523"/>
      <w:r>
        <w:rPr>
          <w:rFonts w:hint="eastAsia" w:ascii="仿宋_GB2312" w:hAnsi="华文仿宋" w:eastAsia="仿宋_GB2312" w:cs="仿宋_GB2312"/>
          <w:b/>
          <w:bCs/>
          <w:kern w:val="2"/>
          <w:sz w:val="24"/>
          <w:szCs w:val="24"/>
          <w:highlight w:val="none"/>
          <w:lang w:val="en-US" w:eastAsia="zh-CN" w:bidi="ar-SA"/>
        </w:rPr>
        <w:t>二、项目概况</w:t>
      </w:r>
      <w:bookmarkEnd w:id="6"/>
      <w:bookmarkEnd w:id="7"/>
      <w:bookmarkEnd w:id="8"/>
      <w:bookmarkEnd w:id="9"/>
      <w:bookmarkEnd w:id="10"/>
    </w:p>
    <w:p>
      <w:pPr>
        <w:widowControl/>
        <w:spacing w:line="520" w:lineRule="exact"/>
        <w:ind w:firstLine="480" w:firstLineChars="200"/>
        <w:jc w:val="left"/>
        <w:rPr>
          <w:rFonts w:ascii="仿宋_GB2312" w:hAnsi="华文仿宋" w:eastAsia="仿宋_GB2312" w:cs="仿宋_GB2312"/>
          <w:sz w:val="24"/>
          <w:szCs w:val="24"/>
          <w:highlight w:val="none"/>
        </w:rPr>
      </w:pPr>
      <w:bookmarkStart w:id="11" w:name="_bookmark4"/>
      <w:bookmarkEnd w:id="11"/>
      <w:r>
        <w:rPr>
          <w:rFonts w:hint="eastAsia" w:ascii="仿宋_GB2312" w:hAnsi="华文仿宋" w:eastAsia="仿宋_GB2312" w:cs="仿宋_GB2312"/>
          <w:sz w:val="24"/>
          <w:szCs w:val="24"/>
          <w:highlight w:val="none"/>
        </w:rPr>
        <w:t>1、采购编号：</w:t>
      </w:r>
      <w:r>
        <w:rPr>
          <w:rFonts w:hint="eastAsia" w:ascii="仿宋_GB2312" w:hAnsi="华文仿宋" w:eastAsia="仿宋_GB2312" w:cs="仿宋_GB2312"/>
          <w:sz w:val="24"/>
          <w:szCs w:val="24"/>
          <w:highlight w:val="none"/>
          <w:lang w:eastAsia="zh-CN"/>
        </w:rPr>
        <w:t>ZS-QCDK-H-2024-1003；</w:t>
      </w:r>
      <w:r>
        <w:rPr>
          <w:rFonts w:hint="eastAsia" w:ascii="仿宋_GB2312" w:hAnsi="华文仿宋" w:eastAsia="仿宋_GB2312" w:cs="仿宋_GB2312"/>
          <w:sz w:val="24"/>
          <w:szCs w:val="24"/>
          <w:highlight w:val="none"/>
        </w:rPr>
        <w:t xml:space="preserve"> </w:t>
      </w:r>
    </w:p>
    <w:p>
      <w:pPr>
        <w:widowControl/>
        <w:spacing w:line="520" w:lineRule="exact"/>
        <w:ind w:firstLine="480" w:firstLineChars="200"/>
        <w:jc w:val="left"/>
        <w:rPr>
          <w:rFonts w:hint="eastAsia" w:ascii="仿宋_GB2312" w:hAnsi="华文仿宋" w:eastAsia="仿宋_GB2312" w:cs="仿宋_GB2312"/>
          <w:sz w:val="24"/>
          <w:szCs w:val="24"/>
          <w:highlight w:val="none"/>
          <w:lang w:eastAsia="zh-CN"/>
        </w:rPr>
      </w:pPr>
      <w:r>
        <w:rPr>
          <w:rFonts w:hint="eastAsia" w:ascii="仿宋_GB2312" w:hAnsi="华文仿宋" w:eastAsia="仿宋_GB2312" w:cs="仿宋_GB2312"/>
          <w:sz w:val="24"/>
          <w:szCs w:val="24"/>
          <w:highlight w:val="none"/>
        </w:rPr>
        <w:t>2、项目名称：</w:t>
      </w:r>
      <w:r>
        <w:rPr>
          <w:rFonts w:hint="eastAsia" w:ascii="仿宋_GB2312" w:hAnsi="华文仿宋" w:eastAsia="仿宋_GB2312" w:cs="仿宋_GB2312"/>
          <w:sz w:val="24"/>
          <w:szCs w:val="24"/>
          <w:highlight w:val="none"/>
          <w:lang w:val="en-US" w:eastAsia="zh-CN"/>
        </w:rPr>
        <w:t>内蒙古电力（集团）有限责任公司内蒙古电力科学研究院分公司综合试验检测车车载设备大修项目；</w:t>
      </w:r>
    </w:p>
    <w:p>
      <w:pPr>
        <w:widowControl/>
        <w:spacing w:line="520" w:lineRule="exact"/>
        <w:ind w:firstLine="480" w:firstLineChars="200"/>
        <w:jc w:val="left"/>
        <w:rPr>
          <w:rFonts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3、采购内容：</w:t>
      </w:r>
      <w:r>
        <w:rPr>
          <w:rFonts w:hint="eastAsia" w:ascii="仿宋_GB2312" w:hAnsi="华文仿宋" w:eastAsia="仿宋_GB2312" w:cs="仿宋_GB2312"/>
          <w:sz w:val="24"/>
          <w:szCs w:val="24"/>
          <w:highlight w:val="none"/>
          <w:lang w:eastAsia="zh-CN"/>
        </w:rPr>
        <w:t>内蒙古电力（集团）有限责任公司内蒙古电力科学研究院分公司综合试验检测车车载设备大修项目，</w:t>
      </w:r>
      <w:r>
        <w:rPr>
          <w:rFonts w:hint="eastAsia" w:ascii="仿宋_GB2312" w:hAnsi="华文仿宋" w:eastAsia="仿宋_GB2312" w:cs="仿宋_GB2312"/>
          <w:sz w:val="24"/>
          <w:szCs w:val="24"/>
          <w:highlight w:val="none"/>
          <w:lang w:val="en-US" w:eastAsia="zh-CN"/>
        </w:rPr>
        <w:t>具体要求详见技术规范书；</w:t>
      </w:r>
    </w:p>
    <w:p>
      <w:pPr>
        <w:widowControl/>
        <w:spacing w:line="520" w:lineRule="exact"/>
        <w:ind w:firstLine="480" w:firstLineChars="200"/>
        <w:jc w:val="left"/>
        <w:rPr>
          <w:rFonts w:hint="eastAsia" w:ascii="仿宋_GB2312" w:hAnsi="华文仿宋" w:eastAsia="仿宋_GB2312" w:cs="仿宋_GB2312"/>
          <w:sz w:val="24"/>
          <w:szCs w:val="24"/>
          <w:highlight w:val="none"/>
          <w:lang w:eastAsia="zh-CN"/>
        </w:rPr>
      </w:pPr>
      <w:r>
        <w:rPr>
          <w:rFonts w:hint="eastAsia" w:ascii="仿宋_GB2312" w:hAnsi="华文仿宋" w:eastAsia="仿宋_GB2312" w:cs="仿宋_GB2312"/>
          <w:sz w:val="24"/>
          <w:szCs w:val="24"/>
          <w:highlight w:val="none"/>
        </w:rPr>
        <w:t>4</w:t>
      </w:r>
      <w:r>
        <w:rPr>
          <w:rFonts w:hint="eastAsia" w:ascii="仿宋_GB2312" w:hAnsi="华文仿宋" w:eastAsia="仿宋_GB2312" w:cs="仿宋_GB2312"/>
          <w:sz w:val="24"/>
          <w:szCs w:val="24"/>
          <w:highlight w:val="none"/>
          <w:lang w:eastAsia="zh-CN"/>
        </w:rPr>
        <w:t>、</w:t>
      </w:r>
      <w:r>
        <w:rPr>
          <w:rFonts w:hint="eastAsia" w:ascii="仿宋_GB2312" w:hAnsi="华文仿宋" w:eastAsia="仿宋_GB2312" w:cs="仿宋_GB2312"/>
          <w:sz w:val="24"/>
          <w:szCs w:val="24"/>
          <w:highlight w:val="none"/>
        </w:rPr>
        <w:t>最高投标限价（人民币）：</w:t>
      </w:r>
      <w:r>
        <w:rPr>
          <w:rFonts w:hint="eastAsia" w:ascii="宋体" w:hAnsi="宋体" w:cs="宋体"/>
          <w:sz w:val="24"/>
          <w:lang w:eastAsia="zh-CN"/>
        </w:rPr>
        <w:t>26.8142</w:t>
      </w:r>
      <w:r>
        <w:rPr>
          <w:rFonts w:hint="eastAsia" w:ascii="宋体" w:hAnsi="宋体" w:cs="宋体"/>
          <w:sz w:val="24"/>
          <w:lang w:val="en-US" w:eastAsia="zh-CN"/>
        </w:rPr>
        <w:t>万元</w:t>
      </w:r>
      <w:r>
        <w:rPr>
          <w:rFonts w:hint="eastAsia" w:ascii="仿宋_GB2312" w:hAnsi="华文仿宋" w:eastAsia="仿宋_GB2312" w:cs="仿宋_GB2312"/>
          <w:color w:val="auto"/>
          <w:sz w:val="24"/>
          <w:szCs w:val="24"/>
          <w:highlight w:val="none"/>
          <w:lang w:eastAsia="zh-CN"/>
        </w:rPr>
        <w:t>；</w:t>
      </w:r>
    </w:p>
    <w:p>
      <w:pPr>
        <w:widowControl/>
        <w:spacing w:line="520" w:lineRule="exact"/>
        <w:ind w:firstLine="480" w:firstLineChars="200"/>
        <w:jc w:val="left"/>
        <w:rPr>
          <w:rFonts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lang w:val="en-US" w:eastAsia="zh-CN"/>
        </w:rPr>
        <w:t>5</w:t>
      </w:r>
      <w:r>
        <w:rPr>
          <w:rFonts w:hint="eastAsia" w:ascii="仿宋_GB2312" w:hAnsi="华文仿宋" w:eastAsia="仿宋_GB2312" w:cs="仿宋_GB2312"/>
          <w:sz w:val="24"/>
          <w:szCs w:val="24"/>
          <w:highlight w:val="none"/>
        </w:rPr>
        <w:t>、服务完成时限：</w:t>
      </w:r>
      <w:r>
        <w:rPr>
          <w:rFonts w:hint="eastAsia" w:ascii="仿宋_GB2312" w:hAnsi="华文仿宋" w:eastAsia="仿宋_GB2312" w:cs="仿宋_GB2312"/>
          <w:sz w:val="24"/>
          <w:szCs w:val="24"/>
          <w:highlight w:val="none"/>
          <w:lang w:eastAsia="zh-CN"/>
        </w:rPr>
        <w:t>合同签订之日起60个工作日内完成维修</w:t>
      </w:r>
      <w:r>
        <w:rPr>
          <w:rFonts w:hint="eastAsia" w:ascii="仿宋_GB2312" w:hAnsi="华文仿宋" w:eastAsia="仿宋_GB2312" w:cs="仿宋_GB2312"/>
          <w:sz w:val="24"/>
          <w:szCs w:val="24"/>
          <w:highlight w:val="none"/>
          <w:lang w:val="en-US" w:eastAsia="zh-CN"/>
        </w:rPr>
        <w:t>；</w:t>
      </w:r>
    </w:p>
    <w:p>
      <w:pPr>
        <w:widowControl/>
        <w:spacing w:line="520" w:lineRule="exact"/>
        <w:ind w:firstLine="480" w:firstLineChars="200"/>
        <w:jc w:val="left"/>
        <w:rPr>
          <w:rFonts w:hint="eastAsia" w:ascii="仿宋_GB2312" w:hAnsi="华文仿宋" w:eastAsia="仿宋_GB2312" w:cs="仿宋_GB2312"/>
          <w:sz w:val="24"/>
          <w:szCs w:val="24"/>
          <w:highlight w:val="none"/>
          <w:lang w:val="en-US" w:eastAsia="zh-CN"/>
        </w:rPr>
      </w:pPr>
      <w:r>
        <w:rPr>
          <w:rFonts w:hint="eastAsia" w:ascii="仿宋_GB2312" w:hAnsi="华文仿宋" w:eastAsia="仿宋_GB2312" w:cs="仿宋_GB2312"/>
          <w:sz w:val="24"/>
          <w:szCs w:val="24"/>
          <w:highlight w:val="none"/>
          <w:lang w:val="en-US" w:eastAsia="zh-CN"/>
        </w:rPr>
        <w:t>6</w:t>
      </w:r>
      <w:r>
        <w:rPr>
          <w:rFonts w:hint="eastAsia" w:ascii="仿宋_GB2312" w:hAnsi="华文仿宋" w:eastAsia="仿宋_GB2312" w:cs="仿宋_GB2312"/>
          <w:sz w:val="24"/>
          <w:szCs w:val="24"/>
          <w:highlight w:val="none"/>
        </w:rPr>
        <w:t>、服务地点：</w:t>
      </w:r>
      <w:r>
        <w:rPr>
          <w:rFonts w:hint="eastAsia" w:ascii="仿宋_GB2312" w:hAnsi="华文仿宋" w:eastAsia="仿宋_GB2312" w:cs="仿宋_GB2312"/>
          <w:sz w:val="24"/>
          <w:szCs w:val="24"/>
          <w:highlight w:val="none"/>
          <w:lang w:val="en-US" w:eastAsia="zh-CN"/>
        </w:rPr>
        <w:t>采购人指定地点；</w:t>
      </w:r>
    </w:p>
    <w:p>
      <w:pPr>
        <w:widowControl/>
        <w:spacing w:line="520" w:lineRule="exact"/>
        <w:ind w:firstLine="480" w:firstLineChars="200"/>
        <w:jc w:val="left"/>
        <w:rPr>
          <w:rFonts w:hint="eastAsia" w:ascii="仿宋_GB2312" w:hAnsi="华文仿宋" w:eastAsia="仿宋_GB2312" w:cs="仿宋_GB2312"/>
          <w:sz w:val="24"/>
          <w:szCs w:val="24"/>
          <w:highlight w:val="none"/>
          <w:lang w:val="en-US" w:eastAsia="zh-CN"/>
        </w:rPr>
      </w:pPr>
      <w:r>
        <w:rPr>
          <w:rFonts w:hint="eastAsia" w:ascii="仿宋_GB2312" w:hAnsi="华文仿宋" w:eastAsia="仿宋_GB2312" w:cs="仿宋_GB2312"/>
          <w:sz w:val="24"/>
          <w:szCs w:val="24"/>
          <w:highlight w:val="none"/>
          <w:lang w:val="en-US" w:eastAsia="zh-CN"/>
        </w:rPr>
        <w:t>7</w:t>
      </w:r>
      <w:r>
        <w:rPr>
          <w:rFonts w:hint="eastAsia" w:ascii="仿宋_GB2312" w:hAnsi="华文仿宋" w:eastAsia="仿宋_GB2312" w:cs="仿宋_GB2312"/>
          <w:sz w:val="24"/>
          <w:szCs w:val="24"/>
          <w:highlight w:val="none"/>
        </w:rPr>
        <w:t>、</w:t>
      </w:r>
      <w:r>
        <w:rPr>
          <w:rFonts w:hint="eastAsia" w:ascii="仿宋_GB2312" w:hAnsi="华文仿宋" w:eastAsia="仿宋_GB2312" w:cs="仿宋_GB2312"/>
          <w:sz w:val="24"/>
          <w:szCs w:val="24"/>
          <w:highlight w:val="none"/>
          <w:lang w:val="en-US" w:eastAsia="zh-CN"/>
        </w:rPr>
        <w:t>质保期：1年</w:t>
      </w:r>
    </w:p>
    <w:p>
      <w:pPr>
        <w:keepNext/>
        <w:keepLines/>
        <w:widowControl w:val="0"/>
        <w:tabs>
          <w:tab w:val="left" w:pos="802"/>
        </w:tabs>
        <w:spacing w:before="0" w:after="0" w:line="520" w:lineRule="exact"/>
        <w:jc w:val="left"/>
        <w:outlineLvl w:val="1"/>
        <w:rPr>
          <w:rFonts w:ascii="仿宋_GB2312" w:hAnsi="华文仿宋" w:eastAsia="仿宋_GB2312" w:cs="仿宋_GB2312"/>
          <w:b/>
          <w:bCs/>
          <w:kern w:val="2"/>
          <w:sz w:val="24"/>
          <w:szCs w:val="24"/>
          <w:highlight w:val="none"/>
          <w:lang w:val="en-US" w:eastAsia="zh-CN" w:bidi="ar-SA"/>
        </w:rPr>
      </w:pPr>
      <w:bookmarkStart w:id="12" w:name="_Toc33690136"/>
      <w:bookmarkStart w:id="13" w:name="_Toc31257"/>
      <w:bookmarkStart w:id="14" w:name="_Toc33968524"/>
      <w:bookmarkStart w:id="15" w:name="_Toc16289"/>
      <w:bookmarkStart w:id="16" w:name="_Toc19097"/>
      <w:r>
        <w:rPr>
          <w:rFonts w:hint="eastAsia" w:ascii="仿宋_GB2312" w:hAnsi="华文仿宋" w:eastAsia="仿宋_GB2312" w:cs="仿宋_GB2312"/>
          <w:b/>
          <w:bCs/>
          <w:kern w:val="2"/>
          <w:sz w:val="24"/>
          <w:szCs w:val="24"/>
          <w:highlight w:val="none"/>
          <w:lang w:val="en-US" w:eastAsia="zh-CN" w:bidi="ar-SA"/>
        </w:rPr>
        <w:t>三、供应商资格要求</w:t>
      </w:r>
      <w:bookmarkEnd w:id="12"/>
      <w:bookmarkEnd w:id="13"/>
      <w:bookmarkEnd w:id="14"/>
      <w:bookmarkEnd w:id="15"/>
      <w:bookmarkEnd w:id="16"/>
    </w:p>
    <w:p>
      <w:pPr>
        <w:overflowPunct w:val="0"/>
        <w:spacing w:line="520" w:lineRule="exact"/>
        <w:ind w:firstLine="241" w:firstLineChars="100"/>
        <w:rPr>
          <w:rFonts w:ascii="仿宋_GB2312" w:hAnsi="华文仿宋" w:eastAsia="仿宋_GB2312" w:cs="Times New Roman"/>
          <w:b/>
          <w:bCs/>
          <w:sz w:val="24"/>
          <w:szCs w:val="24"/>
          <w:highlight w:val="none"/>
        </w:rPr>
      </w:pPr>
      <w:bookmarkStart w:id="17" w:name="_bookmark5"/>
      <w:bookmarkEnd w:id="17"/>
      <w:r>
        <w:rPr>
          <w:rFonts w:hint="eastAsia" w:ascii="仿宋_GB2312" w:hAnsi="华文仿宋" w:eastAsia="仿宋_GB2312" w:cs="Times New Roman"/>
          <w:b/>
          <w:bCs/>
          <w:sz w:val="24"/>
          <w:szCs w:val="24"/>
          <w:highlight w:val="none"/>
        </w:rPr>
        <w:t>1、通用资格要求；</w:t>
      </w:r>
    </w:p>
    <w:p>
      <w:pPr>
        <w:overflowPunct w:val="0"/>
        <w:spacing w:line="500" w:lineRule="exact"/>
        <w:ind w:firstLine="240" w:firstLineChars="10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1）本次采购要求供应商须为中华人民共和国境内依法注册的法人，单位负责人为同一人或者存在控股、管理关系的不同单位，不得参加同一标段响应或者未划分标段的同一项目响应；母子公司不能互用资质、业绩</w:t>
      </w:r>
      <w:r>
        <w:rPr>
          <w:rFonts w:hint="eastAsia" w:ascii="仿宋_GB2312" w:hAnsi="仿宋_GB2312" w:eastAsia="仿宋_GB2312" w:cs="仿宋_GB2312"/>
          <w:sz w:val="24"/>
          <w:szCs w:val="24"/>
          <w:highlight w:val="none"/>
          <w:lang w:eastAsia="zh-CN"/>
        </w:rPr>
        <w:t>；</w:t>
      </w:r>
    </w:p>
    <w:p>
      <w:pPr>
        <w:overflowPunct w:val="0"/>
        <w:spacing w:line="500" w:lineRule="exact"/>
        <w:ind w:firstLine="240" w:firstLineChars="10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2）供应商具有国家相关部门颁发且有效的营业执照，具有足够资产和能力来有效地履行合同，近三年无违法违规行为，没有处于被责令停业或破产状态，且资产未被重组、接管和冻结，企业如有信息变更，需有工商局变更说明</w:t>
      </w:r>
      <w:r>
        <w:rPr>
          <w:rFonts w:hint="eastAsia" w:ascii="仿宋_GB2312" w:hAnsi="仿宋_GB2312" w:eastAsia="仿宋_GB2312" w:cs="仿宋_GB2312"/>
          <w:sz w:val="24"/>
          <w:szCs w:val="24"/>
          <w:highlight w:val="none"/>
          <w:lang w:eastAsia="zh-CN"/>
        </w:rPr>
        <w:t>；</w:t>
      </w:r>
    </w:p>
    <w:p>
      <w:pPr>
        <w:overflowPunct w:val="0"/>
        <w:spacing w:line="500" w:lineRule="exact"/>
        <w:ind w:firstLine="240" w:firstLineChars="10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lang w:eastAsia="zh-CN"/>
        </w:rPr>
        <w:t>）供应商须为一般纳税人(必须按甲方要求开具增值税专用发票)；</w:t>
      </w:r>
    </w:p>
    <w:p>
      <w:pPr>
        <w:overflowPunct w:val="0"/>
        <w:spacing w:line="500" w:lineRule="exact"/>
        <w:ind w:firstLine="240" w:firstLineChars="10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）供应商及其法定代表人近三年内（</w:t>
      </w:r>
      <w:r>
        <w:rPr>
          <w:rFonts w:hint="eastAsia" w:ascii="仿宋_GB2312" w:hAnsi="仿宋_GB2312" w:eastAsia="仿宋_GB2312" w:cs="仿宋_GB2312"/>
          <w:sz w:val="24"/>
          <w:szCs w:val="24"/>
          <w:highlight w:val="none"/>
          <w:lang w:eastAsia="zh-CN"/>
        </w:rPr>
        <w:t>2021年1月1日至今</w:t>
      </w:r>
      <w:r>
        <w:rPr>
          <w:rFonts w:hint="eastAsia" w:ascii="仿宋_GB2312" w:hAnsi="仿宋_GB2312" w:eastAsia="仿宋_GB2312" w:cs="仿宋_GB2312"/>
          <w:sz w:val="24"/>
          <w:szCs w:val="24"/>
          <w:highlight w:val="none"/>
        </w:rPr>
        <w:t>）在中国裁判文书网显示没有行贿犯罪记录</w:t>
      </w:r>
      <w:r>
        <w:rPr>
          <w:rFonts w:hint="eastAsia" w:ascii="仿宋_GB2312" w:hAnsi="仿宋_GB2312" w:eastAsia="仿宋_GB2312" w:cs="仿宋_GB2312"/>
          <w:sz w:val="24"/>
          <w:szCs w:val="24"/>
          <w:highlight w:val="none"/>
          <w:lang w:eastAsia="zh-CN"/>
        </w:rPr>
        <w:t>；</w:t>
      </w:r>
    </w:p>
    <w:p>
      <w:pPr>
        <w:overflowPunct w:val="0"/>
        <w:spacing w:line="500" w:lineRule="exact"/>
        <w:ind w:firstLine="240" w:firstLineChars="10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）供应商未被工商行政管理机关在国家企业信用信息公示系统（www.gsxt.gov.cn）中列入“严重违法失信企业名单”</w:t>
      </w:r>
      <w:r>
        <w:rPr>
          <w:rFonts w:hint="eastAsia" w:ascii="仿宋_GB2312" w:hAnsi="仿宋_GB2312" w:eastAsia="仿宋_GB2312" w:cs="仿宋_GB2312"/>
          <w:sz w:val="24"/>
          <w:szCs w:val="24"/>
          <w:highlight w:val="none"/>
          <w:lang w:eastAsia="zh-CN"/>
        </w:rPr>
        <w:t>；</w:t>
      </w:r>
    </w:p>
    <w:p>
      <w:pPr>
        <w:overflowPunct w:val="0"/>
        <w:spacing w:line="500" w:lineRule="exact"/>
        <w:ind w:firstLine="240" w:firstLineChars="10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）供应商在“信用中国”网站（www.creditchina.gov.cn）中未被列入</w:t>
      </w:r>
      <w:r>
        <w:rPr>
          <w:rFonts w:hint="eastAsia" w:ascii="仿宋_GB2312" w:hAnsi="仿宋_GB2312" w:eastAsia="仿宋_GB2312" w:cs="仿宋_GB2312"/>
          <w:sz w:val="24"/>
          <w:szCs w:val="24"/>
          <w:highlight w:val="none"/>
          <w:lang w:eastAsia="zh-CN"/>
        </w:rPr>
        <w:t>重大税收失信主体名单及</w:t>
      </w:r>
      <w:r>
        <w:rPr>
          <w:rFonts w:hint="eastAsia" w:ascii="仿宋_GB2312" w:hAnsi="仿宋_GB2312" w:eastAsia="仿宋_GB2312" w:cs="仿宋_GB2312"/>
          <w:sz w:val="24"/>
          <w:szCs w:val="24"/>
          <w:highlight w:val="none"/>
        </w:rPr>
        <w:t>失信被执行人名单</w:t>
      </w:r>
      <w:r>
        <w:rPr>
          <w:rFonts w:hint="eastAsia" w:ascii="仿宋_GB2312" w:hAnsi="仿宋_GB2312" w:eastAsia="仿宋_GB2312" w:cs="仿宋_GB2312"/>
          <w:sz w:val="24"/>
          <w:szCs w:val="24"/>
          <w:highlight w:val="none"/>
          <w:lang w:eastAsia="zh-CN"/>
        </w:rPr>
        <w:t>（事业单位除外）；</w:t>
      </w:r>
    </w:p>
    <w:p>
      <w:pPr>
        <w:overflowPunct w:val="0"/>
        <w:spacing w:line="500" w:lineRule="exact"/>
        <w:ind w:firstLine="240" w:firstLineChars="1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7</w:t>
      </w:r>
      <w:r>
        <w:rPr>
          <w:rFonts w:hint="eastAsia" w:ascii="仿宋_GB2312" w:hAnsi="仿宋_GB2312" w:eastAsia="仿宋_GB2312" w:cs="仿宋_GB2312"/>
          <w:sz w:val="24"/>
          <w:szCs w:val="24"/>
          <w:highlight w:val="none"/>
        </w:rPr>
        <w:t>）供应商未被列入中电联发布的各批次涉电力领域失信联合惩戒对象名单（修复名单内的企业除外）；</w:t>
      </w:r>
    </w:p>
    <w:p>
      <w:pPr>
        <w:overflowPunct w:val="0"/>
        <w:spacing w:line="500" w:lineRule="exact"/>
        <w:ind w:firstLine="240" w:firstLineChars="1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8</w:t>
      </w:r>
      <w:r>
        <w:rPr>
          <w:rFonts w:hint="eastAsia" w:ascii="仿宋_GB2312" w:hAnsi="仿宋_GB2312" w:eastAsia="仿宋_GB2312" w:cs="仿宋_GB2312"/>
          <w:sz w:val="24"/>
          <w:szCs w:val="24"/>
          <w:highlight w:val="none"/>
        </w:rPr>
        <w:t>）供应商近年（</w:t>
      </w:r>
      <w:r>
        <w:rPr>
          <w:rFonts w:hint="eastAsia" w:ascii="仿宋_GB2312" w:hAnsi="仿宋_GB2312" w:eastAsia="仿宋_GB2312" w:cs="仿宋_GB2312"/>
          <w:sz w:val="24"/>
          <w:szCs w:val="24"/>
          <w:highlight w:val="none"/>
          <w:lang w:eastAsia="zh-CN"/>
        </w:rPr>
        <w:t>2021年-至今</w:t>
      </w:r>
      <w:r>
        <w:rPr>
          <w:rFonts w:hint="eastAsia" w:ascii="仿宋_GB2312" w:hAnsi="仿宋_GB2312" w:eastAsia="仿宋_GB2312" w:cs="仿宋_GB2312"/>
          <w:sz w:val="24"/>
          <w:szCs w:val="24"/>
          <w:highlight w:val="none"/>
        </w:rPr>
        <w:t>）未因发生过骗取中标和严重违约、质量事故及重大合同纠纷被上级部门（内蒙古电力（集团）有限责任公司）通报/披露取消投标资格，并且目前不处于处罚期内。按照内蒙古电力（集团）有限责任公司《关于对供应商不良行为处理的通知》的规定，未列入最新发布的不良供应商名单。</w:t>
      </w:r>
    </w:p>
    <w:p>
      <w:pPr>
        <w:overflowPunct w:val="0"/>
        <w:spacing w:line="500" w:lineRule="exact"/>
        <w:ind w:firstLine="240" w:firstLineChars="1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9</w:t>
      </w:r>
      <w:r>
        <w:rPr>
          <w:rFonts w:hint="eastAsia" w:ascii="仿宋_GB2312" w:hAnsi="仿宋_GB2312" w:eastAsia="仿宋_GB2312" w:cs="仿宋_GB2312"/>
          <w:sz w:val="24"/>
          <w:szCs w:val="24"/>
          <w:highlight w:val="none"/>
        </w:rPr>
        <w:t>）本项目不接受联合体投标。</w:t>
      </w:r>
    </w:p>
    <w:p>
      <w:pPr>
        <w:overflowPunct w:val="0"/>
        <w:spacing w:line="500" w:lineRule="exact"/>
        <w:ind w:firstLine="241" w:firstLineChars="100"/>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rPr>
        <w:t>2、专用资格要求</w:t>
      </w:r>
      <w:r>
        <w:rPr>
          <w:rFonts w:hint="eastAsia" w:ascii="仿宋_GB2312" w:hAnsi="仿宋_GB2312" w:eastAsia="仿宋_GB2312" w:cs="仿宋_GB2312"/>
          <w:b/>
          <w:bCs/>
          <w:sz w:val="24"/>
          <w:szCs w:val="24"/>
          <w:highlight w:val="none"/>
          <w:lang w:eastAsia="zh-CN"/>
        </w:rPr>
        <w:t>：</w:t>
      </w:r>
      <w:r>
        <w:rPr>
          <w:rFonts w:hint="eastAsia" w:ascii="仿宋_GB2312" w:hAnsi="仿宋_GB2312" w:eastAsia="仿宋_GB2312" w:cs="仿宋_GB2312"/>
          <w:b/>
          <w:bCs/>
          <w:sz w:val="24"/>
          <w:szCs w:val="24"/>
          <w:highlight w:val="none"/>
          <w:lang w:val="en-US" w:eastAsia="zh-CN"/>
        </w:rPr>
        <w:t>无</w:t>
      </w:r>
    </w:p>
    <w:p>
      <w:pPr>
        <w:widowControl/>
        <w:spacing w:line="520" w:lineRule="exact"/>
        <w:jc w:val="left"/>
        <w:rPr>
          <w:rFonts w:hint="eastAsia" w:ascii="仿宋_GB2312" w:hAnsi="华文仿宋" w:eastAsia="仿宋_GB2312" w:cs="仿宋_GB2312"/>
          <w:b/>
          <w:bCs/>
          <w:sz w:val="24"/>
          <w:szCs w:val="24"/>
          <w:highlight w:val="none"/>
          <w:lang w:val="en-US" w:eastAsia="zh-CN"/>
        </w:rPr>
      </w:pPr>
      <w:bookmarkStart w:id="18" w:name="_Toc15303"/>
      <w:bookmarkStart w:id="19" w:name="_Toc2805"/>
      <w:bookmarkStart w:id="20" w:name="_Toc33690137"/>
      <w:bookmarkStart w:id="21" w:name="_Toc33968525"/>
      <w:bookmarkStart w:id="22" w:name="_Toc30111"/>
      <w:r>
        <w:rPr>
          <w:rFonts w:hint="eastAsia" w:ascii="仿宋_GB2312" w:hAnsi="华文仿宋" w:eastAsia="仿宋_GB2312" w:cs="仿宋_GB2312"/>
          <w:b/>
          <w:bCs/>
          <w:sz w:val="24"/>
          <w:szCs w:val="24"/>
          <w:highlight w:val="none"/>
          <w:lang w:eastAsia="zh-CN"/>
        </w:rPr>
        <w:t>四</w:t>
      </w:r>
      <w:r>
        <w:rPr>
          <w:rFonts w:hint="eastAsia" w:ascii="仿宋_GB2312" w:hAnsi="华文仿宋" w:eastAsia="仿宋_GB2312" w:cs="仿宋_GB2312"/>
          <w:b/>
          <w:bCs/>
          <w:sz w:val="24"/>
          <w:szCs w:val="24"/>
          <w:highlight w:val="none"/>
        </w:rPr>
        <w:t>、</w:t>
      </w:r>
      <w:r>
        <w:rPr>
          <w:rFonts w:hint="eastAsia" w:ascii="仿宋_GB2312" w:hAnsi="华文仿宋" w:eastAsia="仿宋_GB2312" w:cs="仿宋_GB2312"/>
          <w:b/>
          <w:bCs/>
          <w:sz w:val="24"/>
          <w:szCs w:val="24"/>
          <w:highlight w:val="none"/>
          <w:lang w:val="en-US" w:eastAsia="zh-CN"/>
        </w:rPr>
        <w:t>报名及竞争磋商文件的获取</w:t>
      </w:r>
      <w:bookmarkEnd w:id="18"/>
      <w:bookmarkEnd w:id="19"/>
      <w:bookmarkEnd w:id="20"/>
      <w:bookmarkEnd w:id="21"/>
      <w:bookmarkEnd w:id="22"/>
    </w:p>
    <w:p>
      <w:pPr>
        <w:widowControl/>
        <w:spacing w:line="520" w:lineRule="exact"/>
        <w:ind w:firstLine="480" w:firstLineChars="200"/>
        <w:jc w:val="left"/>
        <w:rPr>
          <w:rFonts w:hint="eastAsia" w:ascii="仿宋" w:hAnsi="仿宋" w:eastAsia="仿宋" w:cs="仿宋"/>
          <w:kern w:val="0"/>
          <w:sz w:val="24"/>
          <w:szCs w:val="24"/>
          <w:highlight w:val="none"/>
        </w:rPr>
      </w:pPr>
      <w:bookmarkStart w:id="23" w:name="_Toc258"/>
      <w:bookmarkStart w:id="24" w:name="_Toc8599"/>
      <w:bookmarkStart w:id="25" w:name="_Toc27053"/>
      <w:bookmarkStart w:id="26" w:name="_Toc11040"/>
      <w:bookmarkStart w:id="27" w:name="_Toc8614"/>
      <w:bookmarkStart w:id="28" w:name="_Toc33968527"/>
      <w:bookmarkStart w:id="29" w:name="_Toc26681"/>
      <w:bookmarkStart w:id="30" w:name="_Toc22278"/>
      <w:bookmarkStart w:id="31" w:name="_Toc17296"/>
      <w:bookmarkStart w:id="32" w:name="_Toc6236_WPSOffice_Level2"/>
      <w:bookmarkStart w:id="33" w:name="_Toc10760_WPSOffice_Level2"/>
      <w:bookmarkStart w:id="34" w:name="_Toc15725_WPSOffice_Level2"/>
      <w:bookmarkStart w:id="35" w:name="_Toc21704_WPSOffice_Level2"/>
      <w:bookmarkStart w:id="36" w:name="_Toc24762_WPSOffice_Level2"/>
      <w:bookmarkStart w:id="37" w:name="_Toc20618_WPSOffice_Level2"/>
      <w:r>
        <w:rPr>
          <w:rFonts w:hint="eastAsia" w:ascii="仿宋_GB2312" w:hAnsi="华文仿宋" w:eastAsia="仿宋_GB2312" w:cs="仿宋_GB2312"/>
          <w:sz w:val="24"/>
          <w:szCs w:val="24"/>
          <w:highlight w:val="none"/>
          <w:lang w:val="en-US" w:eastAsia="zh-CN"/>
        </w:rPr>
        <w:t>1.凡第一次参与内蒙古电力公司的各类采购项目的供应商，在响应前需要在内蒙古电力公司物资管理信息系统--“内蒙古电力（集团）有限责任公司电子商务平台（http://wzglb.impc.com.cn:82）”，进行供应商基本信息注册</w:t>
      </w:r>
      <w:r>
        <w:rPr>
          <w:rFonts w:hint="eastAsia" w:ascii="仿宋" w:hAnsi="仿宋" w:eastAsia="仿宋" w:cs="仿宋"/>
          <w:kern w:val="0"/>
          <w:sz w:val="24"/>
          <w:szCs w:val="24"/>
          <w:highlight w:val="none"/>
        </w:rPr>
        <w:t>，前述工作完成后方可开始投标报名。</w:t>
      </w:r>
    </w:p>
    <w:p>
      <w:pPr>
        <w:adjustRightInd w:val="0"/>
        <w:snapToGrid w:val="0"/>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2.本项目实行在线报名和下载采购文件。凡有意参加的供应商，请于</w:t>
      </w:r>
      <w:r>
        <w:rPr>
          <w:rFonts w:hint="eastAsia" w:ascii="仿宋" w:hAnsi="仿宋" w:eastAsia="仿宋" w:cs="仿宋"/>
          <w:b/>
          <w:bCs/>
          <w:color w:val="auto"/>
          <w:kern w:val="0"/>
          <w:sz w:val="24"/>
          <w:szCs w:val="24"/>
          <w:highlight w:val="none"/>
          <w:lang w:eastAsia="zh-CN"/>
        </w:rPr>
        <w:t>2024年02月2</w:t>
      </w:r>
      <w:r>
        <w:rPr>
          <w:rFonts w:hint="eastAsia" w:ascii="仿宋" w:hAnsi="仿宋" w:eastAsia="仿宋" w:cs="仿宋"/>
          <w:b/>
          <w:bCs/>
          <w:color w:val="auto"/>
          <w:kern w:val="0"/>
          <w:sz w:val="24"/>
          <w:szCs w:val="24"/>
          <w:highlight w:val="none"/>
          <w:lang w:val="en-US" w:eastAsia="zh-CN"/>
        </w:rPr>
        <w:t>9</w:t>
      </w:r>
      <w:r>
        <w:rPr>
          <w:rFonts w:hint="eastAsia" w:ascii="仿宋" w:hAnsi="仿宋" w:eastAsia="仿宋" w:cs="仿宋"/>
          <w:b/>
          <w:bCs/>
          <w:color w:val="auto"/>
          <w:kern w:val="0"/>
          <w:sz w:val="24"/>
          <w:szCs w:val="24"/>
          <w:highlight w:val="none"/>
          <w:lang w:eastAsia="zh-CN"/>
        </w:rPr>
        <w:t>日</w:t>
      </w:r>
      <w:r>
        <w:rPr>
          <w:rFonts w:hint="eastAsia" w:ascii="仿宋" w:hAnsi="仿宋" w:eastAsia="仿宋" w:cs="仿宋"/>
          <w:b/>
          <w:bCs/>
          <w:color w:val="auto"/>
          <w:kern w:val="0"/>
          <w:sz w:val="24"/>
          <w:szCs w:val="24"/>
          <w:highlight w:val="none"/>
        </w:rPr>
        <w:t>至</w:t>
      </w:r>
      <w:r>
        <w:rPr>
          <w:rFonts w:hint="eastAsia" w:ascii="仿宋" w:hAnsi="仿宋" w:eastAsia="仿宋" w:cs="仿宋"/>
          <w:b/>
          <w:bCs/>
          <w:color w:val="auto"/>
          <w:kern w:val="0"/>
          <w:sz w:val="24"/>
          <w:szCs w:val="24"/>
          <w:highlight w:val="none"/>
          <w:lang w:eastAsia="zh-CN"/>
        </w:rPr>
        <w:t>2024年</w:t>
      </w:r>
      <w:r>
        <w:rPr>
          <w:rFonts w:hint="eastAsia" w:ascii="仿宋" w:hAnsi="仿宋" w:eastAsia="仿宋" w:cs="仿宋"/>
          <w:b/>
          <w:bCs/>
          <w:color w:val="auto"/>
          <w:kern w:val="0"/>
          <w:sz w:val="24"/>
          <w:szCs w:val="24"/>
          <w:highlight w:val="none"/>
          <w:lang w:val="en-US" w:eastAsia="zh-CN"/>
        </w:rPr>
        <w:t>03</w:t>
      </w:r>
      <w:r>
        <w:rPr>
          <w:rFonts w:hint="eastAsia" w:ascii="仿宋" w:hAnsi="仿宋" w:eastAsia="仿宋" w:cs="仿宋"/>
          <w:b/>
          <w:bCs/>
          <w:color w:val="auto"/>
          <w:kern w:val="0"/>
          <w:sz w:val="24"/>
          <w:szCs w:val="24"/>
          <w:highlight w:val="none"/>
          <w:lang w:eastAsia="zh-CN"/>
        </w:rPr>
        <w:t>月</w:t>
      </w:r>
      <w:r>
        <w:rPr>
          <w:rFonts w:hint="eastAsia" w:ascii="仿宋" w:hAnsi="仿宋" w:eastAsia="仿宋" w:cs="仿宋"/>
          <w:b/>
          <w:bCs/>
          <w:color w:val="auto"/>
          <w:kern w:val="0"/>
          <w:sz w:val="24"/>
          <w:szCs w:val="24"/>
          <w:highlight w:val="none"/>
          <w:lang w:val="en-US" w:eastAsia="zh-CN"/>
        </w:rPr>
        <w:t>05</w:t>
      </w:r>
      <w:r>
        <w:rPr>
          <w:rFonts w:hint="eastAsia" w:ascii="仿宋" w:hAnsi="仿宋" w:eastAsia="仿宋" w:cs="仿宋"/>
          <w:b/>
          <w:bCs/>
          <w:color w:val="auto"/>
          <w:kern w:val="0"/>
          <w:sz w:val="24"/>
          <w:szCs w:val="24"/>
          <w:highlight w:val="none"/>
          <w:lang w:eastAsia="zh-CN"/>
        </w:rPr>
        <w:t>日</w:t>
      </w:r>
      <w:r>
        <w:rPr>
          <w:rFonts w:hint="eastAsia" w:ascii="仿宋" w:hAnsi="仿宋" w:eastAsia="仿宋" w:cs="仿宋"/>
          <w:b/>
          <w:bCs/>
          <w:color w:val="auto"/>
          <w:kern w:val="0"/>
          <w:sz w:val="24"/>
          <w:szCs w:val="24"/>
          <w:highlight w:val="none"/>
        </w:rPr>
        <w:t>下午17:00</w:t>
      </w:r>
      <w:r>
        <w:rPr>
          <w:rFonts w:hint="eastAsia" w:ascii="仿宋" w:hAnsi="仿宋" w:eastAsia="仿宋" w:cs="仿宋"/>
          <w:color w:val="auto"/>
          <w:kern w:val="0"/>
          <w:sz w:val="24"/>
          <w:szCs w:val="24"/>
          <w:highlight w:val="none"/>
        </w:rPr>
        <w:t>，</w:t>
      </w:r>
      <w:r>
        <w:rPr>
          <w:rFonts w:hint="eastAsia" w:ascii="仿宋" w:hAnsi="仿宋" w:eastAsia="仿宋" w:cs="仿宋"/>
          <w:kern w:val="0"/>
          <w:sz w:val="24"/>
          <w:szCs w:val="24"/>
          <w:highlight w:val="none"/>
        </w:rPr>
        <w:t>进入</w:t>
      </w:r>
      <w:r>
        <w:rPr>
          <w:rFonts w:hint="eastAsia" w:ascii="仿宋" w:hAnsi="仿宋" w:eastAsia="仿宋" w:cs="仿宋"/>
          <w:kern w:val="0"/>
          <w:sz w:val="24"/>
          <w:szCs w:val="24"/>
          <w:highlight w:val="none"/>
          <w:lang w:val="en-US" w:eastAsia="zh-CN"/>
        </w:rPr>
        <w:t>《内蒙古电力集团电子采购系统》（http://guocai-impc.cppchina.cn）</w:t>
      </w:r>
      <w:r>
        <w:rPr>
          <w:rFonts w:hint="eastAsia" w:ascii="仿宋" w:hAnsi="仿宋" w:eastAsia="仿宋" w:cs="仿宋"/>
          <w:kern w:val="0"/>
          <w:sz w:val="24"/>
          <w:szCs w:val="24"/>
          <w:highlight w:val="none"/>
        </w:rPr>
        <w:t>”在线报名，逾期不予受理。</w:t>
      </w:r>
    </w:p>
    <w:p>
      <w:pPr>
        <w:adjustRightInd w:val="0"/>
        <w:snapToGrid w:val="0"/>
        <w:spacing w:line="360" w:lineRule="auto"/>
        <w:ind w:firstLine="360" w:firstLineChars="150"/>
        <w:rPr>
          <w:rFonts w:hint="eastAsia" w:ascii="仿宋" w:hAnsi="仿宋" w:eastAsia="仿宋" w:cs="仿宋"/>
          <w:sz w:val="24"/>
          <w:szCs w:val="24"/>
          <w:highlight w:val="none"/>
        </w:rPr>
      </w:pPr>
      <w:r>
        <w:rPr>
          <w:rFonts w:hint="eastAsia" w:ascii="仿宋" w:hAnsi="仿宋" w:eastAsia="仿宋" w:cs="仿宋"/>
          <w:sz w:val="24"/>
          <w:szCs w:val="24"/>
          <w:highlight w:val="none"/>
        </w:rPr>
        <w:t>（1）具体流程为：</w:t>
      </w:r>
      <w:r>
        <w:rPr>
          <w:rFonts w:hint="eastAsia" w:ascii="仿宋" w:hAnsi="仿宋" w:eastAsia="仿宋" w:cs="仿宋"/>
          <w:sz w:val="24"/>
          <w:szCs w:val="24"/>
          <w:highlight w:val="none"/>
          <w:lang w:val="en-US" w:eastAsia="zh-CN"/>
        </w:rPr>
        <w:t>登录平台→在报名管理界面查看最新采购项目→供应商报名提交报名资料，通过资格查验的供应商报名后通过“文件下载”界面下载采购文件。平台联系电话：400-9913-966 。</w:t>
      </w:r>
    </w:p>
    <w:p>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供应商须凭【中招互连】APP办理项目后续电子响应事宜，之前未进行注册【中招互连】APP的企业需要下载【中招互连】APP，根据提示即可在线办理相关事宜，后续所有流程全部扫码登录，扫码签章，扫码加密，扫码解密。</w:t>
      </w:r>
    </w:p>
    <w:p>
      <w:pPr>
        <w:adjustRightInd w:val="0"/>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注：1、之前使用实体CA的企业可以继续使用，CA证书到期后在进行注册【中招互连】APP。  2、目前处于CA、扫码交替阶段，供应商需要注意以下事项：（1）避免使用CA加密，而使用扫码解密。反之同理。（2）扫码登录，扫码签章，扫码加密，扫码解密， 登录APP的手机号必须保持一致。</w:t>
      </w:r>
    </w:p>
    <w:p>
      <w:pPr>
        <w:widowControl/>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3.代理公司详细地址：呼和浩特市赛罕区鄂尔多斯东街12号银联大厦10层。</w:t>
      </w:r>
    </w:p>
    <w:p>
      <w:pPr>
        <w:widowControl/>
        <w:spacing w:line="360" w:lineRule="auto"/>
        <w:ind w:firstLine="482" w:firstLineChars="200"/>
        <w:jc w:val="left"/>
        <w:rPr>
          <w:rFonts w:hint="eastAsia" w:ascii="仿宋" w:hAnsi="仿宋" w:eastAsia="仿宋" w:cs="仿宋"/>
          <w:b/>
          <w:bCs/>
          <w:kern w:val="0"/>
          <w:sz w:val="24"/>
          <w:szCs w:val="24"/>
          <w:highlight w:val="none"/>
        </w:rPr>
      </w:pPr>
      <w:r>
        <w:rPr>
          <w:rFonts w:hint="eastAsia" w:ascii="仿宋" w:hAnsi="仿宋" w:eastAsia="仿宋" w:cs="仿宋"/>
          <w:b/>
          <w:kern w:val="0"/>
          <w:sz w:val="24"/>
          <w:szCs w:val="24"/>
          <w:highlight w:val="none"/>
        </w:rPr>
        <w:t>4.报名时所需资料：</w:t>
      </w:r>
      <w:r>
        <w:rPr>
          <w:rFonts w:hint="eastAsia" w:ascii="仿宋" w:hAnsi="仿宋" w:eastAsia="仿宋" w:cs="仿宋"/>
          <w:b/>
          <w:bCs/>
          <w:kern w:val="0"/>
          <w:sz w:val="24"/>
          <w:szCs w:val="24"/>
          <w:highlight w:val="none"/>
        </w:rPr>
        <w:t xml:space="preserve"> </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需提供下列资料加盖单位公章扫描件（如资料不全，招标人拒绝接收）</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（1）供应商提供法人代表授权委托书</w:t>
      </w:r>
      <w:r>
        <w:rPr>
          <w:rFonts w:hint="eastAsia" w:ascii="仿宋" w:hAnsi="仿宋" w:eastAsia="仿宋" w:cs="仿宋"/>
          <w:b/>
          <w:sz w:val="24"/>
          <w:szCs w:val="24"/>
          <w:highlight w:val="none"/>
        </w:rPr>
        <w:t>（格式详见附件二）</w:t>
      </w:r>
      <w:r>
        <w:rPr>
          <w:rFonts w:hint="eastAsia" w:ascii="仿宋" w:hAnsi="仿宋" w:eastAsia="仿宋" w:cs="仿宋"/>
          <w:sz w:val="24"/>
          <w:szCs w:val="24"/>
          <w:highlight w:val="none"/>
        </w:rPr>
        <w:t>；</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（2）有效的营业执照，企业名称如有变更，需提供有关行政机关提供的变更证明；</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（3）供应商提供</w:t>
      </w:r>
      <w:r>
        <w:rPr>
          <w:rFonts w:hint="eastAsia" w:ascii="仿宋" w:hAnsi="仿宋" w:eastAsia="仿宋" w:cs="仿宋"/>
          <w:sz w:val="24"/>
          <w:szCs w:val="24"/>
          <w:highlight w:val="none"/>
          <w:lang w:val="en-US" w:eastAsia="zh-CN"/>
        </w:rPr>
        <w:t>一般纳税人</w:t>
      </w:r>
      <w:r>
        <w:rPr>
          <w:rFonts w:hint="eastAsia" w:ascii="仿宋" w:hAnsi="仿宋" w:eastAsia="仿宋" w:cs="仿宋"/>
          <w:sz w:val="24"/>
          <w:szCs w:val="24"/>
          <w:highlight w:val="none"/>
          <w:lang w:eastAsia="zh-CN"/>
        </w:rPr>
        <w:t>登记表</w:t>
      </w:r>
      <w:r>
        <w:rPr>
          <w:rFonts w:hint="eastAsia" w:ascii="仿宋" w:hAnsi="仿宋" w:eastAsia="仿宋" w:cs="仿宋"/>
          <w:sz w:val="24"/>
          <w:szCs w:val="24"/>
          <w:highlight w:val="none"/>
          <w:lang w:val="en-US" w:eastAsia="zh-CN"/>
        </w:rPr>
        <w:t>或税务网站查询截图</w:t>
      </w:r>
      <w:r>
        <w:rPr>
          <w:rFonts w:hint="eastAsia" w:ascii="仿宋" w:hAnsi="仿宋" w:eastAsia="仿宋" w:cs="仿宋"/>
          <w:sz w:val="24"/>
          <w:szCs w:val="24"/>
          <w:highlight w:val="none"/>
          <w:lang w:eastAsia="zh-CN"/>
        </w:rPr>
        <w:t>；</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供应商在“信用中国”网站（www.creditchina.gov.cn）中未被列入</w:t>
      </w:r>
      <w:r>
        <w:rPr>
          <w:rFonts w:hint="eastAsia" w:ascii="仿宋" w:hAnsi="仿宋" w:eastAsia="仿宋" w:cs="仿宋"/>
          <w:sz w:val="24"/>
          <w:szCs w:val="24"/>
          <w:highlight w:val="none"/>
          <w:lang w:eastAsia="zh-CN"/>
        </w:rPr>
        <w:t>“重大税收失信主体”及“</w:t>
      </w:r>
      <w:r>
        <w:rPr>
          <w:rFonts w:hint="eastAsia" w:ascii="仿宋" w:hAnsi="仿宋" w:eastAsia="仿宋" w:cs="仿宋"/>
          <w:sz w:val="24"/>
          <w:szCs w:val="24"/>
          <w:highlight w:val="none"/>
        </w:rPr>
        <w:t>失信被执行人”的查询记录截图</w:t>
      </w:r>
      <w:r>
        <w:rPr>
          <w:rFonts w:hint="eastAsia" w:ascii="仿宋_GB2312" w:hAnsi="仿宋_GB2312" w:eastAsia="仿宋_GB2312" w:cs="仿宋_GB2312"/>
          <w:sz w:val="24"/>
          <w:szCs w:val="24"/>
          <w:highlight w:val="none"/>
          <w:lang w:eastAsia="zh-CN"/>
        </w:rPr>
        <w:t>（事业单位除外）</w:t>
      </w:r>
      <w:r>
        <w:rPr>
          <w:rFonts w:hint="eastAsia" w:ascii="仿宋" w:hAnsi="仿宋" w:eastAsia="仿宋" w:cs="仿宋"/>
          <w:sz w:val="24"/>
          <w:szCs w:val="24"/>
          <w:highlight w:val="none"/>
        </w:rPr>
        <w:t>；</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）供应商在国家企业信用信息公示系统（http://www.gsxt.gov.cn）中未被列入严重违法失信企业名单截图；</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）供应商及其法人代表在中国裁判文书网（http://wenshu.court.gov.cn/）查询显示近三年（</w:t>
      </w:r>
      <w:r>
        <w:rPr>
          <w:rFonts w:hint="eastAsia" w:ascii="仿宋" w:hAnsi="仿宋" w:eastAsia="仿宋" w:cs="仿宋"/>
          <w:sz w:val="24"/>
          <w:szCs w:val="24"/>
          <w:highlight w:val="none"/>
          <w:lang w:eastAsia="zh-CN"/>
        </w:rPr>
        <w:t>2021年1月1日至投标截止日</w:t>
      </w:r>
      <w:r>
        <w:rPr>
          <w:rFonts w:hint="eastAsia" w:ascii="仿宋" w:hAnsi="仿宋" w:eastAsia="仿宋" w:cs="仿宋"/>
          <w:sz w:val="24"/>
          <w:szCs w:val="24"/>
          <w:highlight w:val="none"/>
        </w:rPr>
        <w:t>）没有行贿犯罪记录截图；</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）供应商须提供响应真实性承诺书</w:t>
      </w:r>
      <w:r>
        <w:rPr>
          <w:rFonts w:hint="eastAsia" w:ascii="仿宋" w:hAnsi="仿宋" w:eastAsia="仿宋" w:cs="仿宋"/>
          <w:b/>
          <w:sz w:val="24"/>
          <w:szCs w:val="24"/>
          <w:highlight w:val="none"/>
        </w:rPr>
        <w:t>（格式详见附件三）</w:t>
      </w:r>
      <w:r>
        <w:rPr>
          <w:rFonts w:hint="eastAsia" w:ascii="仿宋" w:hAnsi="仿宋" w:eastAsia="仿宋" w:cs="仿宋"/>
          <w:sz w:val="24"/>
          <w:szCs w:val="24"/>
          <w:highlight w:val="none"/>
        </w:rPr>
        <w:t>；</w:t>
      </w:r>
    </w:p>
    <w:p>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）供应商未被列入中电联发布的各批次涉电力领域失信联合惩戒对象名单（修复名单内的企业除外）</w:t>
      </w:r>
      <w:r>
        <w:rPr>
          <w:rFonts w:hint="eastAsia" w:ascii="仿宋" w:hAnsi="仿宋" w:eastAsia="仿宋" w:cs="仿宋"/>
          <w:sz w:val="24"/>
          <w:szCs w:val="24"/>
          <w:highlight w:val="none"/>
          <w:lang w:val="en-US" w:eastAsia="zh-CN"/>
        </w:rPr>
        <w:t>的</w:t>
      </w:r>
      <w:r>
        <w:rPr>
          <w:rFonts w:hint="eastAsia" w:ascii="仿宋" w:hAnsi="仿宋" w:eastAsia="仿宋" w:cs="仿宋"/>
          <w:sz w:val="24"/>
          <w:szCs w:val="24"/>
          <w:highlight w:val="none"/>
        </w:rPr>
        <w:t>承诺书</w:t>
      </w:r>
      <w:r>
        <w:rPr>
          <w:rFonts w:hint="eastAsia" w:ascii="仿宋" w:hAnsi="仿宋" w:eastAsia="仿宋" w:cs="仿宋"/>
          <w:b/>
          <w:sz w:val="24"/>
          <w:szCs w:val="24"/>
          <w:highlight w:val="none"/>
        </w:rPr>
        <w:t>（格式自拟）</w:t>
      </w:r>
      <w:r>
        <w:rPr>
          <w:rFonts w:hint="eastAsia" w:ascii="仿宋" w:hAnsi="仿宋" w:eastAsia="仿宋" w:cs="仿宋"/>
          <w:sz w:val="24"/>
          <w:szCs w:val="24"/>
          <w:highlight w:val="none"/>
        </w:rPr>
        <w:t>；</w:t>
      </w:r>
    </w:p>
    <w:p>
      <w:pPr>
        <w:spacing w:line="360" w:lineRule="auto"/>
        <w:ind w:firstLine="480" w:firstLineChars="200"/>
        <w:jc w:val="left"/>
        <w:rPr>
          <w:rFonts w:hint="eastAsia" w:ascii="仿宋" w:hAnsi="仿宋" w:eastAsia="仿宋" w:cs="仿宋"/>
          <w:sz w:val="24"/>
          <w:szCs w:val="24"/>
          <w:highlight w:val="none"/>
        </w:rPr>
      </w:pP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9</w:t>
      </w:r>
      <w:r>
        <w:rPr>
          <w:rFonts w:hint="eastAsia" w:ascii="仿宋_GB2312" w:hAnsi="仿宋_GB2312" w:eastAsia="仿宋_GB2312" w:cs="仿宋_GB2312"/>
          <w:sz w:val="24"/>
          <w:szCs w:val="24"/>
          <w:highlight w:val="none"/>
        </w:rPr>
        <w:t>）供应商近年（</w:t>
      </w:r>
      <w:r>
        <w:rPr>
          <w:rFonts w:hint="eastAsia" w:ascii="仿宋_GB2312" w:hAnsi="仿宋_GB2312" w:eastAsia="仿宋_GB2312" w:cs="仿宋_GB2312"/>
          <w:sz w:val="24"/>
          <w:szCs w:val="24"/>
          <w:highlight w:val="none"/>
          <w:lang w:eastAsia="zh-CN"/>
        </w:rPr>
        <w:t>2021年-至今</w:t>
      </w:r>
      <w:r>
        <w:rPr>
          <w:rFonts w:hint="eastAsia" w:ascii="仿宋_GB2312" w:hAnsi="仿宋_GB2312" w:eastAsia="仿宋_GB2312" w:cs="仿宋_GB2312"/>
          <w:sz w:val="24"/>
          <w:szCs w:val="24"/>
          <w:highlight w:val="none"/>
        </w:rPr>
        <w:t>）未因发生过骗取中标和严重违约、质量事故及重大合同纠纷被上级部门（内蒙古电力（集团）有限责任公司）通报/披露取消投标资格，并且目前不处于处罚期内。按照内蒙古电力（集团）有限责任公司《关于对供应商不良行为处理的通知》的规定，未列入最新发布的不良供应商名单</w:t>
      </w:r>
      <w:r>
        <w:rPr>
          <w:rFonts w:hint="eastAsia" w:ascii="仿宋_GB2312" w:hAnsi="仿宋_GB2312" w:eastAsia="仿宋_GB2312" w:cs="仿宋_GB2312"/>
          <w:sz w:val="24"/>
          <w:szCs w:val="24"/>
          <w:highlight w:val="none"/>
          <w:lang w:val="en-US" w:eastAsia="zh-CN"/>
        </w:rPr>
        <w:t>的</w:t>
      </w:r>
      <w:r>
        <w:rPr>
          <w:rFonts w:hint="eastAsia" w:ascii="仿宋" w:hAnsi="仿宋" w:eastAsia="仿宋" w:cs="仿宋"/>
          <w:sz w:val="24"/>
          <w:szCs w:val="24"/>
          <w:highlight w:val="none"/>
        </w:rPr>
        <w:t>承诺函</w:t>
      </w:r>
      <w:r>
        <w:rPr>
          <w:rFonts w:hint="eastAsia" w:ascii="仿宋" w:hAnsi="仿宋" w:eastAsia="仿宋" w:cs="仿宋"/>
          <w:b/>
          <w:sz w:val="24"/>
          <w:szCs w:val="24"/>
          <w:highlight w:val="none"/>
        </w:rPr>
        <w:t>（格式自拟）</w:t>
      </w:r>
      <w:r>
        <w:rPr>
          <w:rFonts w:hint="eastAsia" w:ascii="仿宋" w:hAnsi="仿宋" w:eastAsia="仿宋" w:cs="仿宋"/>
          <w:sz w:val="24"/>
          <w:szCs w:val="24"/>
          <w:highlight w:val="none"/>
        </w:rPr>
        <w:t>。</w:t>
      </w:r>
    </w:p>
    <w:p>
      <w:pPr>
        <w:adjustRightInd w:val="0"/>
        <w:spacing w:line="360" w:lineRule="auto"/>
        <w:ind w:firstLine="549" w:firstLineChars="228"/>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注：</w:t>
      </w:r>
    </w:p>
    <w:p>
      <w:pPr>
        <w:spacing w:line="360" w:lineRule="auto"/>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（1）报名资料如无法查真，需由供应商提供有效查询路径。</w:t>
      </w:r>
    </w:p>
    <w:p>
      <w:pPr>
        <w:spacing w:line="360" w:lineRule="auto"/>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（2）在报名阶段，对供应商资质、业绩等资格要求进行严格的真实性核查；经核实存在资格证明材料造假或信息不实的，采购人将按照公司《物资供应商不良行为管理办法》的规定进行处罚。</w:t>
      </w:r>
    </w:p>
    <w:p>
      <w:pPr>
        <w:spacing w:line="360" w:lineRule="auto"/>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（3）供应商提供的报名资料需按照公告要求顺序排列，加盖公章后整体扫描为pdf格式上传，不接受doc、图片形式的报名资料，未按上述要求提交的报名资料一律退回。</w:t>
      </w:r>
    </w:p>
    <w:p>
      <w:pPr>
        <w:spacing w:line="360" w:lineRule="auto"/>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4）为保证供应商顺利报名成功，请供应商在报名截止时间前一个小时上传报名资料，如因供应商上传报名资料距报名截止时间不足一小时，且资料审核未通过后未能及时上传更正报名资料，导致报名不成功其后果由供应商自行承担。</w:t>
      </w:r>
    </w:p>
    <w:p>
      <w:pPr>
        <w:keepNext/>
        <w:keepLines/>
        <w:widowControl w:val="0"/>
        <w:spacing w:before="0" w:after="0" w:line="520" w:lineRule="exact"/>
        <w:jc w:val="both"/>
        <w:outlineLvl w:val="1"/>
        <w:rPr>
          <w:rFonts w:ascii="仿宋_GB2312" w:hAnsi="华文仿宋" w:eastAsia="仿宋_GB2312" w:cs="仿宋_GB2312"/>
          <w:b/>
          <w:kern w:val="2"/>
          <w:sz w:val="24"/>
          <w:szCs w:val="24"/>
          <w:highlight w:val="none"/>
          <w:lang w:val="en-US" w:eastAsia="zh-CN" w:bidi="ar-SA"/>
        </w:rPr>
      </w:pPr>
      <w:r>
        <w:rPr>
          <w:rFonts w:hint="eastAsia" w:ascii="仿宋_GB2312" w:hAnsi="华文仿宋" w:eastAsia="仿宋_GB2312" w:cs="仿宋_GB2312"/>
          <w:b/>
          <w:kern w:val="2"/>
          <w:sz w:val="24"/>
          <w:szCs w:val="24"/>
          <w:highlight w:val="none"/>
          <w:lang w:val="en-US" w:eastAsia="zh-CN" w:bidi="ar-SA"/>
        </w:rPr>
        <w:t>五、资格审查：</w:t>
      </w:r>
      <w:bookmarkEnd w:id="23"/>
      <w:bookmarkEnd w:id="24"/>
      <w:bookmarkEnd w:id="25"/>
      <w:bookmarkEnd w:id="26"/>
      <w:bookmarkEnd w:id="27"/>
      <w:bookmarkEnd w:id="28"/>
      <w:bookmarkEnd w:id="29"/>
      <w:bookmarkEnd w:id="30"/>
      <w:bookmarkEnd w:id="31"/>
    </w:p>
    <w:p>
      <w:pPr>
        <w:spacing w:line="520" w:lineRule="exact"/>
        <w:ind w:firstLine="480" w:firstLineChars="200"/>
        <w:rPr>
          <w:rFonts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本次招标采取资格后审方式，开标后由磋商小组统一进行资格审查，详见竞争磋商文件。资格审查时，供应商提供的资料不全或不合格的或模糊不清无法辨认，均不能通过资格后审，其响应文件将被否决。</w:t>
      </w:r>
    </w:p>
    <w:p>
      <w:pPr>
        <w:spacing w:line="520" w:lineRule="exact"/>
        <w:rPr>
          <w:rFonts w:ascii="仿宋_GB2312" w:hAnsi="Calibri" w:eastAsia="仿宋_GB2312" w:cs="Times New Roman"/>
          <w:b/>
          <w:sz w:val="24"/>
          <w:szCs w:val="24"/>
          <w:highlight w:val="none"/>
        </w:rPr>
      </w:pPr>
      <w:r>
        <w:rPr>
          <w:rFonts w:hint="eastAsia" w:ascii="仿宋_GB2312" w:hAnsi="Calibri" w:eastAsia="仿宋_GB2312" w:cs="Times New Roman"/>
          <w:b/>
          <w:sz w:val="24"/>
          <w:szCs w:val="24"/>
          <w:highlight w:val="none"/>
          <w:lang w:eastAsia="zh-CN"/>
        </w:rPr>
        <w:t>六</w:t>
      </w:r>
      <w:r>
        <w:rPr>
          <w:rFonts w:hint="eastAsia" w:ascii="仿宋_GB2312" w:hAnsi="Calibri" w:eastAsia="仿宋_GB2312" w:cs="Times New Roman"/>
          <w:b/>
          <w:sz w:val="24"/>
          <w:szCs w:val="24"/>
          <w:highlight w:val="none"/>
        </w:rPr>
        <w:t>、响应文件的递交</w:t>
      </w:r>
    </w:p>
    <w:p>
      <w:pPr>
        <w:ind w:firstLine="420"/>
        <w:rPr>
          <w:rFonts w:ascii="宋体" w:hAnsi="宋体" w:cs="宋体"/>
          <w:color w:val="auto"/>
          <w:sz w:val="21"/>
          <w:szCs w:val="21"/>
        </w:rPr>
      </w:pPr>
      <w:r>
        <w:rPr>
          <w:rFonts w:hint="eastAsia" w:ascii="宋体" w:hAnsi="宋体" w:cs="宋体"/>
          <w:sz w:val="21"/>
          <w:szCs w:val="21"/>
        </w:rPr>
        <w:t>1.递交方式：电子响应文件请于响应截止时间之前上传</w:t>
      </w:r>
      <w:r>
        <w:rPr>
          <w:rFonts w:hint="eastAsia" w:ascii="宋体" w:hAnsi="宋体" w:cs="宋体"/>
          <w:color w:val="auto"/>
          <w:sz w:val="21"/>
          <w:szCs w:val="21"/>
        </w:rPr>
        <w:t>到“</w:t>
      </w:r>
      <w:r>
        <w:rPr>
          <w:rFonts w:hint="eastAsia" w:ascii="宋体" w:hAnsi="宋体" w:cs="宋体"/>
          <w:color w:val="auto"/>
          <w:sz w:val="21"/>
          <w:szCs w:val="21"/>
          <w:lang w:eastAsia="zh-CN"/>
        </w:rPr>
        <w:t>内蒙古电力集团电子采购系统</w:t>
      </w:r>
      <w:r>
        <w:rPr>
          <w:rFonts w:hint="eastAsia" w:ascii="宋体" w:hAnsi="宋体" w:cs="宋体"/>
          <w:color w:val="auto"/>
          <w:sz w:val="21"/>
          <w:szCs w:val="21"/>
        </w:rPr>
        <w:t>”，响应截止时间后上传的响应文件恕不接收。本项目采用远程评审方式，不接收纸质响应文件，逾期上传的响应文件，将不予接收。</w:t>
      </w:r>
    </w:p>
    <w:p>
      <w:pPr>
        <w:ind w:firstLine="420"/>
        <w:rPr>
          <w:sz w:val="21"/>
          <w:szCs w:val="21"/>
        </w:rPr>
      </w:pPr>
      <w:r>
        <w:rPr>
          <w:rFonts w:hint="eastAsia" w:ascii="宋体" w:hAnsi="宋体" w:cs="宋体"/>
          <w:sz w:val="21"/>
          <w:szCs w:val="21"/>
          <w:lang w:val="en-US" w:eastAsia="zh-CN"/>
        </w:rPr>
        <w:t>2</w:t>
      </w:r>
      <w:r>
        <w:rPr>
          <w:rFonts w:hint="eastAsia" w:ascii="宋体" w:hAnsi="宋体" w:cs="宋体"/>
          <w:sz w:val="21"/>
          <w:szCs w:val="21"/>
        </w:rPr>
        <w:t>.响应文件加密：供应商对网上递交的响应文件应加密。使用数字证书（CA）或登录【中招互连】APP对响应文件进行加密功能（如果供应商使用A手机号码对响应文件进行了扫码加密，必须需要使用A手机号码进行扫码解密，才能读取或导入响应文件）。</w:t>
      </w:r>
    </w:p>
    <w:p>
      <w:pPr>
        <w:keepNext/>
        <w:keepLines/>
        <w:widowControl w:val="0"/>
        <w:spacing w:before="0" w:after="0" w:line="520" w:lineRule="exact"/>
        <w:jc w:val="both"/>
        <w:outlineLvl w:val="1"/>
        <w:rPr>
          <w:rFonts w:ascii="仿宋_GB2312" w:hAnsi="华文仿宋" w:eastAsia="仿宋_GB2312" w:cs="仿宋_GB2312"/>
          <w:b/>
          <w:kern w:val="2"/>
          <w:sz w:val="24"/>
          <w:szCs w:val="24"/>
          <w:highlight w:val="none"/>
          <w:lang w:val="en-US" w:eastAsia="zh-CN" w:bidi="ar-SA"/>
        </w:rPr>
      </w:pPr>
      <w:bookmarkStart w:id="38" w:name="_Toc16009"/>
      <w:bookmarkStart w:id="39" w:name="_Toc7484"/>
      <w:bookmarkStart w:id="40" w:name="_Toc13392"/>
      <w:bookmarkStart w:id="41" w:name="_Toc23066"/>
      <w:bookmarkStart w:id="42" w:name="_Toc10880"/>
      <w:bookmarkStart w:id="43" w:name="_Toc458"/>
      <w:bookmarkStart w:id="44" w:name="_Toc25304"/>
      <w:bookmarkStart w:id="45" w:name="_Toc131"/>
      <w:bookmarkStart w:id="46" w:name="_Toc33968528"/>
      <w:r>
        <w:rPr>
          <w:rFonts w:hint="eastAsia" w:ascii="仿宋_GB2312" w:hAnsi="华文仿宋" w:eastAsia="仿宋_GB2312" w:cs="仿宋_GB2312"/>
          <w:b/>
          <w:kern w:val="2"/>
          <w:sz w:val="24"/>
          <w:szCs w:val="24"/>
          <w:highlight w:val="none"/>
          <w:lang w:val="en-US" w:eastAsia="zh-CN" w:bidi="ar-SA"/>
        </w:rPr>
        <w:t>七</w:t>
      </w:r>
      <w:bookmarkEnd w:id="38"/>
      <w:bookmarkEnd w:id="39"/>
      <w:bookmarkEnd w:id="40"/>
      <w:bookmarkEnd w:id="41"/>
      <w:bookmarkEnd w:id="42"/>
      <w:bookmarkEnd w:id="43"/>
      <w:bookmarkEnd w:id="44"/>
      <w:bookmarkEnd w:id="45"/>
      <w:bookmarkEnd w:id="46"/>
      <w:r>
        <w:rPr>
          <w:rFonts w:hint="eastAsia" w:ascii="仿宋_GB2312" w:hAnsi="华文仿宋" w:eastAsia="仿宋_GB2312" w:cs="仿宋_GB2312"/>
          <w:b/>
          <w:kern w:val="2"/>
          <w:sz w:val="24"/>
          <w:szCs w:val="24"/>
          <w:highlight w:val="none"/>
          <w:lang w:val="en-US" w:eastAsia="zh-CN" w:bidi="ar-SA"/>
        </w:rPr>
        <w:t>、</w:t>
      </w:r>
      <w:r>
        <w:rPr>
          <w:rFonts w:hint="eastAsia" w:ascii="仿宋" w:hAnsi="仿宋" w:eastAsia="仿宋" w:cs="仿宋"/>
          <w:b/>
          <w:kern w:val="2"/>
          <w:sz w:val="24"/>
          <w:szCs w:val="24"/>
          <w:highlight w:val="none"/>
          <w:lang w:val="en-US" w:eastAsia="zh-CN" w:bidi="ar-SA"/>
        </w:rPr>
        <w:t>截标、磋商时间及地点</w:t>
      </w:r>
      <w:r>
        <w:rPr>
          <w:rFonts w:hint="eastAsia" w:ascii="仿宋_GB2312" w:hAnsi="华文仿宋" w:eastAsia="仿宋_GB2312" w:cs="仿宋_GB2312"/>
          <w:b/>
          <w:kern w:val="2"/>
          <w:sz w:val="24"/>
          <w:szCs w:val="24"/>
          <w:highlight w:val="none"/>
          <w:lang w:val="en-US" w:eastAsia="zh-CN" w:bidi="ar-SA"/>
        </w:rPr>
        <w:t>：</w:t>
      </w:r>
    </w:p>
    <w:p>
      <w:pPr>
        <w:spacing w:line="520" w:lineRule="exact"/>
        <w:ind w:firstLine="480" w:firstLineChars="200"/>
        <w:rPr>
          <w:rFonts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响应文件上传时间：</w:t>
      </w:r>
      <w:r>
        <w:rPr>
          <w:rFonts w:hint="eastAsia" w:ascii="仿宋_GB2312" w:hAnsi="华文仿宋" w:eastAsia="仿宋_GB2312" w:cs="仿宋_GB2312"/>
          <w:sz w:val="24"/>
          <w:szCs w:val="24"/>
          <w:highlight w:val="none"/>
          <w:lang w:eastAsia="zh-CN"/>
        </w:rPr>
        <w:t>2024年02月2</w:t>
      </w:r>
      <w:r>
        <w:rPr>
          <w:rFonts w:hint="eastAsia" w:ascii="仿宋_GB2312" w:hAnsi="华文仿宋" w:eastAsia="仿宋_GB2312" w:cs="仿宋_GB2312"/>
          <w:sz w:val="24"/>
          <w:szCs w:val="24"/>
          <w:highlight w:val="none"/>
          <w:lang w:val="en-US" w:eastAsia="zh-CN"/>
        </w:rPr>
        <w:t>9</w:t>
      </w:r>
      <w:r>
        <w:rPr>
          <w:rFonts w:hint="eastAsia" w:ascii="仿宋_GB2312" w:hAnsi="华文仿宋" w:eastAsia="仿宋_GB2312" w:cs="仿宋_GB2312"/>
          <w:sz w:val="24"/>
          <w:szCs w:val="24"/>
          <w:highlight w:val="none"/>
          <w:lang w:eastAsia="zh-CN"/>
        </w:rPr>
        <w:t>日</w:t>
      </w:r>
      <w:r>
        <w:rPr>
          <w:rFonts w:hint="eastAsia" w:ascii="仿宋_GB2312" w:hAnsi="华文仿宋" w:eastAsia="仿宋_GB2312" w:cs="仿宋_GB2312"/>
          <w:sz w:val="24"/>
          <w:szCs w:val="24"/>
          <w:highlight w:val="none"/>
        </w:rPr>
        <w:t>～</w:t>
      </w:r>
      <w:r>
        <w:rPr>
          <w:rFonts w:hint="eastAsia" w:ascii="仿宋_GB2312" w:hAnsi="华文仿宋" w:eastAsia="仿宋_GB2312" w:cs="仿宋_GB2312"/>
          <w:sz w:val="24"/>
          <w:szCs w:val="24"/>
          <w:highlight w:val="none"/>
          <w:lang w:eastAsia="zh-CN"/>
        </w:rPr>
        <w:t>2024年03月11日下午14:00</w:t>
      </w:r>
    </w:p>
    <w:p>
      <w:pPr>
        <w:spacing w:line="520" w:lineRule="exact"/>
        <w:ind w:firstLine="480" w:firstLineChars="200"/>
        <w:rPr>
          <w:rFonts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磋商截止时间：</w:t>
      </w:r>
      <w:r>
        <w:rPr>
          <w:rFonts w:hint="eastAsia" w:ascii="仿宋_GB2312" w:hAnsi="华文仿宋" w:eastAsia="仿宋_GB2312" w:cs="仿宋_GB2312"/>
          <w:sz w:val="24"/>
          <w:szCs w:val="24"/>
          <w:highlight w:val="none"/>
          <w:lang w:eastAsia="zh-CN"/>
        </w:rPr>
        <w:t>2024年03月11日下午14:00</w:t>
      </w:r>
    </w:p>
    <w:p>
      <w:pPr>
        <w:spacing w:line="520" w:lineRule="exact"/>
        <w:ind w:firstLine="480" w:firstLineChars="200"/>
        <w:rPr>
          <w:rFonts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商务技术经济标开标时间：</w:t>
      </w:r>
      <w:r>
        <w:rPr>
          <w:rFonts w:hint="eastAsia" w:ascii="仿宋_GB2312" w:hAnsi="华文仿宋" w:eastAsia="仿宋_GB2312" w:cs="仿宋_GB2312"/>
          <w:sz w:val="24"/>
          <w:szCs w:val="24"/>
          <w:highlight w:val="none"/>
          <w:lang w:eastAsia="zh-CN"/>
        </w:rPr>
        <w:t>2024年03月11日下午14:00</w:t>
      </w:r>
    </w:p>
    <w:p>
      <w:pPr>
        <w:spacing w:line="520" w:lineRule="exact"/>
        <w:ind w:firstLine="480" w:firstLineChars="200"/>
        <w:rPr>
          <w:rFonts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商务技术经济标解密时间：</w:t>
      </w:r>
      <w:r>
        <w:rPr>
          <w:rFonts w:hint="eastAsia" w:ascii="仿宋_GB2312" w:hAnsi="华文仿宋" w:eastAsia="仿宋_GB2312" w:cs="仿宋_GB2312"/>
          <w:sz w:val="24"/>
          <w:szCs w:val="24"/>
          <w:highlight w:val="none"/>
          <w:lang w:eastAsia="zh-CN"/>
        </w:rPr>
        <w:t>2024年03月11日下午14:00～2024年03月11日下午14:30</w:t>
      </w:r>
    </w:p>
    <w:p>
      <w:pPr>
        <w:spacing w:line="520" w:lineRule="exact"/>
        <w:ind w:firstLine="480" w:firstLineChars="200"/>
        <w:rPr>
          <w:rFonts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竞争磋商地点：呼和浩特市呼伦贝尔北路铁路党校南楼南侧二楼</w:t>
      </w:r>
    </w:p>
    <w:p>
      <w:pPr>
        <w:keepNext/>
        <w:keepLines/>
        <w:widowControl w:val="0"/>
        <w:spacing w:before="0" w:after="0" w:line="520" w:lineRule="exact"/>
        <w:jc w:val="both"/>
        <w:outlineLvl w:val="1"/>
        <w:rPr>
          <w:rFonts w:ascii="仿宋_GB2312" w:hAnsi="华文仿宋" w:eastAsia="仿宋_GB2312" w:cs="仿宋_GB2312"/>
          <w:b/>
          <w:kern w:val="2"/>
          <w:sz w:val="24"/>
          <w:szCs w:val="24"/>
          <w:highlight w:val="none"/>
          <w:lang w:val="en-US" w:eastAsia="zh-CN" w:bidi="ar-SA"/>
        </w:rPr>
      </w:pPr>
      <w:bookmarkStart w:id="47" w:name="_Toc9860"/>
      <w:bookmarkStart w:id="48" w:name="_Toc16989"/>
      <w:bookmarkStart w:id="49" w:name="_Toc23863"/>
      <w:bookmarkStart w:id="50" w:name="_Toc8581"/>
      <w:bookmarkStart w:id="51" w:name="_Toc4100"/>
      <w:bookmarkStart w:id="52" w:name="_Toc18222"/>
      <w:bookmarkStart w:id="53" w:name="_Toc5354"/>
      <w:bookmarkStart w:id="54" w:name="_Toc33968529"/>
      <w:bookmarkStart w:id="55" w:name="_Toc25969"/>
      <w:r>
        <w:rPr>
          <w:rFonts w:hint="eastAsia" w:ascii="仿宋_GB2312" w:hAnsi="华文仿宋" w:eastAsia="仿宋_GB2312" w:cs="仿宋_GB2312"/>
          <w:b/>
          <w:kern w:val="2"/>
          <w:sz w:val="24"/>
          <w:szCs w:val="24"/>
          <w:highlight w:val="none"/>
          <w:lang w:val="en-US" w:eastAsia="zh-CN" w:bidi="ar-SA"/>
        </w:rPr>
        <w:t>八、解密方式及协商方式：</w:t>
      </w:r>
      <w:bookmarkEnd w:id="47"/>
      <w:bookmarkEnd w:id="48"/>
      <w:bookmarkEnd w:id="49"/>
      <w:bookmarkEnd w:id="50"/>
      <w:bookmarkEnd w:id="51"/>
      <w:bookmarkEnd w:id="52"/>
      <w:bookmarkEnd w:id="53"/>
      <w:bookmarkEnd w:id="54"/>
      <w:bookmarkEnd w:id="55"/>
    </w:p>
    <w:p>
      <w:pPr>
        <w:spacing w:before="240"/>
        <w:ind w:firstLine="422"/>
        <w:contextualSpacing/>
        <w:rPr>
          <w:rFonts w:hint="eastAsia" w:ascii="仿宋" w:hAnsi="仿宋" w:eastAsia="仿宋" w:cs="仿宋"/>
          <w:sz w:val="24"/>
          <w:szCs w:val="24"/>
        </w:rPr>
      </w:pPr>
      <w:r>
        <w:rPr>
          <w:rFonts w:hint="eastAsia" w:ascii="仿宋" w:hAnsi="仿宋" w:eastAsia="仿宋" w:cs="仿宋"/>
          <w:b/>
          <w:sz w:val="24"/>
          <w:szCs w:val="24"/>
        </w:rPr>
        <w:t>1.远程解密：</w:t>
      </w:r>
      <w:r>
        <w:rPr>
          <w:rFonts w:hint="eastAsia" w:ascii="仿宋" w:hAnsi="仿宋" w:eastAsia="仿宋" w:cs="仿宋"/>
          <w:sz w:val="24"/>
          <w:szCs w:val="24"/>
        </w:rPr>
        <w:t>远程解密，供应商于递交响应文件截止时间在原单位使用原上传文件电脑通过数字证书（CA）或登录【中招互连】APP或进行响应文件的远程解密（届时请持上传文件时所使用的手机提前30分钟等候在电脑前准备参加文件解密，需保持电脑网络通畅）。</w:t>
      </w:r>
    </w:p>
    <w:p>
      <w:pPr>
        <w:widowControl/>
        <w:tabs>
          <w:tab w:val="left" w:pos="2625"/>
        </w:tabs>
        <w:spacing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开标</w:t>
      </w:r>
      <w:r>
        <w:rPr>
          <w:rFonts w:hint="eastAsia" w:ascii="仿宋" w:hAnsi="仿宋" w:eastAsia="仿宋" w:cs="仿宋"/>
          <w:color w:val="auto"/>
          <w:kern w:val="0"/>
          <w:sz w:val="24"/>
          <w:szCs w:val="24"/>
        </w:rPr>
        <w:t>地点：</w:t>
      </w:r>
      <w:r>
        <w:rPr>
          <w:rFonts w:hint="eastAsia" w:ascii="仿宋" w:hAnsi="仿宋" w:eastAsia="仿宋" w:cs="仿宋"/>
          <w:color w:val="auto"/>
          <w:kern w:val="0"/>
          <w:sz w:val="24"/>
          <w:szCs w:val="24"/>
          <w:lang w:eastAsia="zh-CN"/>
        </w:rPr>
        <w:t>内蒙古电子招标投标交易平台开标室</w:t>
      </w:r>
      <w:r>
        <w:rPr>
          <w:rFonts w:hint="eastAsia" w:ascii="仿宋" w:hAnsi="仿宋" w:eastAsia="仿宋" w:cs="仿宋"/>
          <w:color w:val="auto"/>
          <w:kern w:val="0"/>
          <w:sz w:val="24"/>
          <w:szCs w:val="24"/>
        </w:rPr>
        <w:t>。</w:t>
      </w:r>
    </w:p>
    <w:p>
      <w:pPr>
        <w:widowControl/>
        <w:tabs>
          <w:tab w:val="left" w:pos="2625"/>
        </w:tabs>
        <w:spacing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开标</w:t>
      </w:r>
      <w:r>
        <w:rPr>
          <w:rFonts w:hint="eastAsia" w:ascii="仿宋" w:hAnsi="仿宋" w:eastAsia="仿宋" w:cs="仿宋"/>
          <w:color w:val="auto"/>
          <w:kern w:val="0"/>
          <w:sz w:val="24"/>
          <w:szCs w:val="24"/>
        </w:rPr>
        <w:t>地址：</w:t>
      </w:r>
      <w:r>
        <w:rPr>
          <w:rFonts w:hint="eastAsia" w:ascii="仿宋" w:hAnsi="仿宋" w:eastAsia="仿宋" w:cs="仿宋"/>
          <w:color w:val="auto"/>
          <w:kern w:val="0"/>
          <w:sz w:val="24"/>
          <w:szCs w:val="24"/>
          <w:lang w:eastAsia="zh-CN"/>
        </w:rPr>
        <w:t>呼和浩特市呼伦贝尔北路铁路党校南楼南侧二楼</w:t>
      </w:r>
      <w:r>
        <w:rPr>
          <w:rFonts w:hint="eastAsia" w:ascii="仿宋" w:hAnsi="仿宋" w:eastAsia="仿宋" w:cs="仿宋"/>
          <w:color w:val="auto"/>
          <w:kern w:val="0"/>
          <w:sz w:val="24"/>
          <w:szCs w:val="24"/>
        </w:rPr>
        <w:t>。</w:t>
      </w:r>
    </w:p>
    <w:p>
      <w:pPr>
        <w:widowControl/>
        <w:tabs>
          <w:tab w:val="left" w:pos="2625"/>
        </w:tabs>
        <w:ind w:firstLine="420"/>
        <w:jc w:val="left"/>
        <w:rPr>
          <w:rFonts w:hint="eastAsia" w:ascii="仿宋" w:hAnsi="仿宋" w:eastAsia="仿宋" w:cs="仿宋"/>
          <w:bCs/>
          <w:sz w:val="24"/>
          <w:szCs w:val="24"/>
        </w:rPr>
      </w:pPr>
      <w:r>
        <w:rPr>
          <w:rFonts w:hint="eastAsia" w:ascii="仿宋" w:hAnsi="仿宋" w:eastAsia="仿宋" w:cs="仿宋"/>
          <w:kern w:val="0"/>
          <w:sz w:val="24"/>
          <w:szCs w:val="24"/>
        </w:rPr>
        <w:t>如果递交响应文件截止时间有改变，采购代理机构将提前通知，逾期提交的响应文件将不予受理。</w:t>
      </w:r>
    </w:p>
    <w:p>
      <w:pPr>
        <w:numPr>
          <w:ilvl w:val="0"/>
          <w:numId w:val="1"/>
        </w:numPr>
        <w:spacing w:before="240"/>
        <w:ind w:left="480" w:firstLine="0" w:firstLineChars="0"/>
        <w:contextualSpacing/>
        <w:rPr>
          <w:rFonts w:hint="eastAsia" w:ascii="仿宋" w:hAnsi="仿宋" w:eastAsia="仿宋" w:cs="仿宋"/>
          <w:bCs/>
          <w:sz w:val="24"/>
          <w:szCs w:val="24"/>
          <w:lang w:val="en-US" w:eastAsia="zh-CN"/>
        </w:rPr>
      </w:pPr>
      <w:r>
        <w:rPr>
          <w:rFonts w:hint="eastAsia" w:ascii="仿宋" w:hAnsi="仿宋" w:eastAsia="仿宋" w:cs="仿宋"/>
          <w:b/>
          <w:sz w:val="24"/>
          <w:szCs w:val="24"/>
        </w:rPr>
        <w:t>远程协商：</w:t>
      </w:r>
      <w:r>
        <w:rPr>
          <w:rFonts w:hint="eastAsia" w:ascii="仿宋" w:hAnsi="仿宋" w:eastAsia="仿宋" w:cs="仿宋"/>
          <w:bCs/>
          <w:sz w:val="24"/>
          <w:szCs w:val="24"/>
          <w:lang w:val="en-US" w:eastAsia="zh-CN"/>
        </w:rPr>
        <w:t>供应商不需到达评审现场，专家通过远程与各供应商进行视频协商。</w:t>
      </w:r>
    </w:p>
    <w:p>
      <w:pPr>
        <w:spacing w:line="520" w:lineRule="exact"/>
        <w:ind w:right="103" w:firstLine="480" w:firstLineChars="200"/>
        <w:rPr>
          <w:rFonts w:hint="eastAsia" w:ascii="仿宋" w:hAnsi="仿宋" w:eastAsia="仿宋" w:cs="仿宋"/>
          <w:b w:val="0"/>
          <w:bCs/>
          <w:sz w:val="24"/>
          <w:szCs w:val="24"/>
          <w:highlight w:val="none"/>
        </w:rPr>
      </w:pPr>
      <w:r>
        <w:rPr>
          <w:rFonts w:hint="eastAsia" w:ascii="仿宋" w:hAnsi="仿宋" w:eastAsia="仿宋" w:cs="仿宋"/>
          <w:bCs/>
          <w:sz w:val="24"/>
          <w:szCs w:val="24"/>
          <w:lang w:val="en-US" w:eastAsia="zh-CN"/>
        </w:rPr>
        <w:t>请供应商按公告时间及时参与相关签到、解密及确认工作，签到、解密及确认过程中有任何问题请及时与系统沟通联系解决（400-9913-966 ，周一～周五9:00-17:00），因供应商原因未在规定时间内解密响应文件，视为供应商撤销其响应文件。</w:t>
      </w:r>
    </w:p>
    <w:p>
      <w:pPr>
        <w:spacing w:line="520" w:lineRule="exact"/>
        <w:ind w:right="103" w:firstLine="480" w:firstLineChars="200"/>
        <w:rPr>
          <w:rFonts w:hint="eastAsia" w:ascii="仿宋_GB2312" w:hAnsi="华文仿宋" w:eastAsia="仿宋_GB2312" w:cs="仿宋_GB2312"/>
          <w:b w:val="0"/>
          <w:bCs/>
          <w:sz w:val="24"/>
          <w:szCs w:val="24"/>
          <w:highlight w:val="none"/>
        </w:rPr>
      </w:pPr>
      <w:r>
        <w:rPr>
          <w:rFonts w:hint="eastAsia" w:ascii="仿宋_GB2312" w:hAnsi="华文仿宋" w:eastAsia="仿宋_GB2312" w:cs="仿宋_GB2312"/>
          <w:b w:val="0"/>
          <w:bCs/>
          <w:sz w:val="24"/>
          <w:szCs w:val="24"/>
          <w:highlight w:val="none"/>
        </w:rPr>
        <w:t>开标地点：内蒙古电子招标投标交易平台开标室。</w:t>
      </w:r>
    </w:p>
    <w:p>
      <w:pPr>
        <w:spacing w:line="520" w:lineRule="exact"/>
        <w:ind w:firstLine="480" w:firstLineChars="20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地址：呼和浩特市呼伦贝尔北路铁路党校南楼南侧二楼。</w:t>
      </w:r>
    </w:p>
    <w:p>
      <w:pPr>
        <w:spacing w:line="520" w:lineRule="exact"/>
        <w:ind w:firstLine="480" w:firstLineChars="20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如果截标或开标时间及地点有改变，采购机构将提前通知，逾期提交的响应文件将不予受理，不接受邮寄方式提交响应文件。</w:t>
      </w:r>
    </w:p>
    <w:p>
      <w:pPr>
        <w:spacing w:line="520" w:lineRule="exact"/>
        <w:rPr>
          <w:rFonts w:hint="eastAsia" w:ascii="仿宋_GB2312" w:hAnsi="华文仿宋" w:eastAsia="仿宋_GB2312" w:cs="仿宋_GB2312"/>
          <w:b/>
          <w:bCs/>
          <w:sz w:val="24"/>
          <w:szCs w:val="24"/>
          <w:highlight w:val="none"/>
        </w:rPr>
      </w:pPr>
      <w:bookmarkStart w:id="56" w:name="_Toc33968530"/>
      <w:bookmarkStart w:id="57" w:name="_Toc24794"/>
      <w:bookmarkStart w:id="58" w:name="_Toc7402"/>
      <w:bookmarkStart w:id="59" w:name="_Toc15348"/>
      <w:bookmarkStart w:id="60" w:name="_Toc13376"/>
      <w:bookmarkStart w:id="61" w:name="_Toc25064"/>
      <w:bookmarkStart w:id="62" w:name="_Toc29172"/>
      <w:bookmarkStart w:id="63" w:name="_Toc21900"/>
      <w:bookmarkStart w:id="64" w:name="_Toc20174"/>
      <w:r>
        <w:rPr>
          <w:rFonts w:hint="eastAsia" w:ascii="仿宋_GB2312" w:hAnsi="华文仿宋" w:eastAsia="仿宋_GB2312" w:cs="仿宋_GB2312"/>
          <w:b/>
          <w:bCs/>
          <w:sz w:val="24"/>
          <w:szCs w:val="24"/>
          <w:highlight w:val="none"/>
          <w:lang w:eastAsia="zh-CN"/>
        </w:rPr>
        <w:t>九、</w:t>
      </w:r>
      <w:bookmarkEnd w:id="56"/>
      <w:bookmarkEnd w:id="57"/>
      <w:bookmarkEnd w:id="58"/>
      <w:bookmarkEnd w:id="59"/>
      <w:bookmarkEnd w:id="60"/>
      <w:bookmarkEnd w:id="61"/>
      <w:bookmarkEnd w:id="62"/>
      <w:bookmarkEnd w:id="63"/>
      <w:bookmarkEnd w:id="64"/>
      <w:r>
        <w:rPr>
          <w:rFonts w:hint="eastAsia" w:ascii="仿宋_GB2312" w:hAnsi="华文仿宋" w:eastAsia="仿宋_GB2312" w:cs="仿宋_GB2312"/>
          <w:b/>
          <w:bCs/>
          <w:sz w:val="24"/>
          <w:szCs w:val="24"/>
          <w:highlight w:val="none"/>
        </w:rPr>
        <w:t>代理机构银行账号及其他费用</w:t>
      </w:r>
    </w:p>
    <w:p>
      <w:pPr>
        <w:spacing w:line="520" w:lineRule="exact"/>
        <w:ind w:firstLine="480" w:firstLineChars="20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1、开户银行：招商银行呼和浩特巨海城支行</w:t>
      </w:r>
    </w:p>
    <w:p>
      <w:pPr>
        <w:spacing w:line="520" w:lineRule="exact"/>
        <w:ind w:firstLine="480" w:firstLineChars="20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帐 户 名：内蒙古中实工程招标咨询有限责任公司</w:t>
      </w:r>
    </w:p>
    <w:p>
      <w:pPr>
        <w:spacing w:line="520" w:lineRule="exact"/>
        <w:ind w:firstLine="480" w:firstLineChars="20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账号：47190001411032523010001</w:t>
      </w:r>
    </w:p>
    <w:p>
      <w:pPr>
        <w:spacing w:line="520" w:lineRule="exact"/>
        <w:ind w:firstLine="480" w:firstLineChars="20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行号：308191036122</w:t>
      </w:r>
    </w:p>
    <w:p>
      <w:pPr>
        <w:spacing w:line="520" w:lineRule="exact"/>
        <w:ind w:firstLine="480" w:firstLineChars="20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2、本项目采用全流程电子招投标，每标段每家投标单位需（在购买招标文件后，上传投标文件前）在线向电子交易平台缴纳电子投标服务费。</w:t>
      </w:r>
    </w:p>
    <w:tbl>
      <w:tblPr>
        <w:tblStyle w:val="9"/>
        <w:tblW w:w="78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77"/>
        <w:gridCol w:w="3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4177" w:type="dxa"/>
            <w:vAlign w:val="center"/>
          </w:tcPr>
          <w:p>
            <w:pPr>
              <w:spacing w:line="520" w:lineRule="exact"/>
              <w:jc w:val="center"/>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收费标准</w:t>
            </w:r>
          </w:p>
        </w:tc>
        <w:tc>
          <w:tcPr>
            <w:tcW w:w="3686" w:type="dxa"/>
            <w:vAlign w:val="center"/>
          </w:tcPr>
          <w:p>
            <w:pPr>
              <w:spacing w:line="520" w:lineRule="exact"/>
              <w:jc w:val="center"/>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收费金额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jc w:val="center"/>
        </w:trPr>
        <w:tc>
          <w:tcPr>
            <w:tcW w:w="4177" w:type="dxa"/>
            <w:vAlign w:val="center"/>
          </w:tcPr>
          <w:p>
            <w:pPr>
              <w:spacing w:line="520" w:lineRule="exact"/>
              <w:jc w:val="center"/>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招标项目</w:t>
            </w:r>
          </w:p>
        </w:tc>
        <w:tc>
          <w:tcPr>
            <w:tcW w:w="3686" w:type="dxa"/>
            <w:vAlign w:val="center"/>
          </w:tcPr>
          <w:p>
            <w:pPr>
              <w:spacing w:line="520" w:lineRule="exact"/>
              <w:jc w:val="center"/>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400元/标段/次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4177" w:type="dxa"/>
            <w:vAlign w:val="center"/>
          </w:tcPr>
          <w:p>
            <w:pPr>
              <w:spacing w:line="520" w:lineRule="exact"/>
              <w:jc w:val="center"/>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采购项目</w:t>
            </w:r>
          </w:p>
        </w:tc>
        <w:tc>
          <w:tcPr>
            <w:tcW w:w="3686" w:type="dxa"/>
            <w:vAlign w:val="center"/>
          </w:tcPr>
          <w:p>
            <w:pPr>
              <w:spacing w:line="520" w:lineRule="exact"/>
              <w:jc w:val="center"/>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300元/标段/次</w:t>
            </w:r>
          </w:p>
        </w:tc>
      </w:tr>
    </w:tbl>
    <w:p>
      <w:pPr>
        <w:spacing w:line="520" w:lineRule="exact"/>
        <w:ind w:firstLine="480" w:firstLineChars="20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3、每标段中标单位需向内蒙古电子招投标交易平台缴纳平台使用服务费，①场所服务费由中标人缴纳中标金额的千分之一，四舍五入到元，不足500元按照500元计取②凡是没有实际金额的框架招标和资格入围的中标单位，平台使用服务费为1000元/标段/次。电子交易服务费缴纳方式为现金或公对公转账。</w:t>
      </w:r>
    </w:p>
    <w:p>
      <w:pPr>
        <w:spacing w:line="520" w:lineRule="exact"/>
        <w:ind w:firstLine="480" w:firstLineChars="20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单位名称：内蒙古网佳招标公共服务平台运营有限公司</w:t>
      </w:r>
    </w:p>
    <w:p>
      <w:pPr>
        <w:spacing w:line="520" w:lineRule="exact"/>
        <w:ind w:firstLine="480" w:firstLineChars="20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账号：0602004109200022157</w:t>
      </w:r>
    </w:p>
    <w:p>
      <w:pPr>
        <w:spacing w:line="520" w:lineRule="exact"/>
        <w:ind w:firstLine="480" w:firstLineChars="20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开户行：中国工商银行股份有限公司呼和浩特市军区支行（汇款时请务必公对公转账并备注：代理机构名称及开标日期）</w:t>
      </w:r>
    </w:p>
    <w:p>
      <w:pPr>
        <w:spacing w:line="520" w:lineRule="exact"/>
        <w:ind w:firstLine="480" w:firstLineChars="20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开票联系电话：0471-3261228</w:t>
      </w:r>
    </w:p>
    <w:p>
      <w:pPr>
        <w:spacing w:line="520" w:lineRule="exact"/>
        <w:ind w:firstLine="480" w:firstLineChars="20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邮箱地址：</w:t>
      </w:r>
      <w:r>
        <w:rPr>
          <w:rFonts w:hint="eastAsia" w:ascii="仿宋_GB2312" w:hAnsi="华文仿宋" w:eastAsia="仿宋_GB2312" w:cs="仿宋_GB2312"/>
          <w:sz w:val="24"/>
          <w:szCs w:val="24"/>
          <w:highlight w:val="none"/>
        </w:rPr>
        <w:fldChar w:fldCharType="begin"/>
      </w:r>
      <w:r>
        <w:rPr>
          <w:rFonts w:hint="eastAsia" w:ascii="仿宋_GB2312" w:hAnsi="华文仿宋" w:eastAsia="仿宋_GB2312" w:cs="仿宋_GB2312"/>
          <w:sz w:val="24"/>
          <w:szCs w:val="24"/>
          <w:highlight w:val="none"/>
        </w:rPr>
        <w:instrText xml:space="preserve"> HYPERLINK "mailto:wjzbcw@126.com" </w:instrText>
      </w:r>
      <w:r>
        <w:rPr>
          <w:rFonts w:hint="eastAsia" w:ascii="仿宋_GB2312" w:hAnsi="华文仿宋" w:eastAsia="仿宋_GB2312" w:cs="仿宋_GB2312"/>
          <w:sz w:val="24"/>
          <w:szCs w:val="24"/>
          <w:highlight w:val="none"/>
        </w:rPr>
        <w:fldChar w:fldCharType="separate"/>
      </w:r>
      <w:r>
        <w:rPr>
          <w:rFonts w:hint="eastAsia" w:ascii="仿宋_GB2312" w:hAnsi="华文仿宋" w:eastAsia="仿宋_GB2312" w:cs="仿宋_GB2312"/>
          <w:sz w:val="24"/>
          <w:szCs w:val="24"/>
          <w:highlight w:val="none"/>
        </w:rPr>
        <w:t>wjzbcw@126.com</w:t>
      </w:r>
      <w:r>
        <w:rPr>
          <w:rFonts w:hint="eastAsia" w:ascii="仿宋_GB2312" w:hAnsi="华文仿宋" w:eastAsia="仿宋_GB2312" w:cs="仿宋_GB2312"/>
          <w:sz w:val="24"/>
          <w:szCs w:val="24"/>
          <w:highlight w:val="none"/>
        </w:rPr>
        <w:fldChar w:fldCharType="end"/>
      </w:r>
    </w:p>
    <w:p>
      <w:pPr>
        <w:spacing w:line="520" w:lineRule="exact"/>
        <w:ind w:firstLine="480" w:firstLineChars="200"/>
        <w:rPr>
          <w:rFonts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4、其他费用详见采购文件。</w:t>
      </w:r>
    </w:p>
    <w:p>
      <w:pPr>
        <w:keepNext/>
        <w:keepLines/>
        <w:widowControl w:val="0"/>
        <w:spacing w:before="0" w:after="0" w:line="520" w:lineRule="exact"/>
        <w:jc w:val="both"/>
        <w:outlineLvl w:val="1"/>
        <w:rPr>
          <w:rFonts w:ascii="仿宋_GB2312" w:hAnsi="华文仿宋" w:eastAsia="仿宋_GB2312" w:cs="仿宋_GB2312"/>
          <w:b/>
          <w:kern w:val="2"/>
          <w:sz w:val="24"/>
          <w:szCs w:val="24"/>
          <w:highlight w:val="none"/>
          <w:lang w:val="en-US" w:eastAsia="zh-CN" w:bidi="ar-SA"/>
        </w:rPr>
      </w:pPr>
      <w:bookmarkStart w:id="65" w:name="_Toc1139"/>
      <w:bookmarkStart w:id="66" w:name="_Toc6501"/>
      <w:bookmarkStart w:id="67" w:name="_Toc2627"/>
      <w:bookmarkStart w:id="68" w:name="_Toc5817"/>
      <w:bookmarkStart w:id="69" w:name="_Toc33968531"/>
      <w:bookmarkStart w:id="70" w:name="_Toc505"/>
      <w:bookmarkStart w:id="71" w:name="_Toc28825"/>
      <w:bookmarkStart w:id="72" w:name="_Toc27789"/>
      <w:bookmarkStart w:id="73" w:name="_Toc23524"/>
      <w:r>
        <w:rPr>
          <w:rFonts w:hint="eastAsia" w:ascii="仿宋_GB2312" w:hAnsi="华文仿宋" w:eastAsia="仿宋_GB2312" w:cs="仿宋_GB2312"/>
          <w:b/>
          <w:kern w:val="2"/>
          <w:sz w:val="24"/>
          <w:szCs w:val="24"/>
          <w:highlight w:val="none"/>
          <w:lang w:val="en-US" w:eastAsia="zh-CN" w:bidi="ar-SA"/>
        </w:rPr>
        <w:t>十、发布公告的媒介</w:t>
      </w:r>
      <w:bookmarkEnd w:id="65"/>
      <w:bookmarkEnd w:id="66"/>
      <w:bookmarkEnd w:id="67"/>
      <w:bookmarkEnd w:id="68"/>
      <w:bookmarkEnd w:id="69"/>
      <w:bookmarkEnd w:id="70"/>
      <w:bookmarkEnd w:id="71"/>
      <w:bookmarkEnd w:id="72"/>
      <w:bookmarkEnd w:id="73"/>
      <w:r>
        <w:rPr>
          <w:rFonts w:hint="eastAsia" w:ascii="仿宋_GB2312" w:hAnsi="华文仿宋" w:eastAsia="仿宋_GB2312" w:cs="仿宋_GB2312"/>
          <w:b/>
          <w:kern w:val="2"/>
          <w:sz w:val="24"/>
          <w:szCs w:val="24"/>
          <w:highlight w:val="none"/>
          <w:lang w:val="en-US" w:eastAsia="zh-CN" w:bidi="ar-SA"/>
        </w:rPr>
        <w:t xml:space="preserve"> </w:t>
      </w:r>
    </w:p>
    <w:p>
      <w:pPr>
        <w:spacing w:line="520" w:lineRule="exact"/>
        <w:ind w:right="-147" w:firstLine="420"/>
        <w:rPr>
          <w:rFonts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本次公告在《中国招标投标公共服务平台》（www.cebpubservice.com）、《内蒙古招标投标公共服务平台》（www.nmgztb.com.cn）</w:t>
      </w:r>
      <w:r>
        <w:rPr>
          <w:rFonts w:hint="eastAsia" w:ascii="仿宋_GB2312" w:hAnsi="华文仿宋" w:eastAsia="仿宋_GB2312" w:cs="仿宋_GB2312"/>
          <w:sz w:val="24"/>
          <w:szCs w:val="24"/>
          <w:highlight w:val="none"/>
          <w:lang w:eastAsia="zh-CN"/>
        </w:rPr>
        <w:t>、《内蒙古电力集团电子采购系统》（http://guocai-impc.cppchina.cn）</w:t>
      </w:r>
      <w:r>
        <w:rPr>
          <w:rFonts w:hint="eastAsia" w:ascii="仿宋_GB2312" w:hAnsi="华文仿宋" w:eastAsia="仿宋_GB2312" w:cs="仿宋_GB2312"/>
          <w:sz w:val="24"/>
          <w:szCs w:val="24"/>
          <w:highlight w:val="none"/>
        </w:rPr>
        <w:t xml:space="preserve">同时发布，其它媒介转发无效。 </w:t>
      </w:r>
    </w:p>
    <w:p>
      <w:pPr>
        <w:spacing w:line="520" w:lineRule="exact"/>
        <w:rPr>
          <w:rFonts w:ascii="仿宋_GB2312" w:hAnsi="华文仿宋" w:eastAsia="仿宋_GB2312" w:cs="仿宋_GB2312"/>
          <w:b/>
          <w:bCs/>
          <w:sz w:val="24"/>
          <w:szCs w:val="24"/>
          <w:highlight w:val="none"/>
        </w:rPr>
      </w:pPr>
      <w:r>
        <w:rPr>
          <w:rFonts w:hint="eastAsia" w:ascii="仿宋_GB2312" w:hAnsi="华文仿宋" w:eastAsia="仿宋_GB2312" w:cs="仿宋_GB2312"/>
          <w:b/>
          <w:bCs/>
          <w:sz w:val="24"/>
          <w:szCs w:val="24"/>
          <w:highlight w:val="none"/>
          <w:lang w:eastAsia="zh-CN"/>
        </w:rPr>
        <w:t>十一、</w:t>
      </w:r>
      <w:r>
        <w:rPr>
          <w:rFonts w:hint="eastAsia" w:ascii="仿宋_GB2312" w:hAnsi="华文仿宋" w:eastAsia="仿宋_GB2312" w:cs="仿宋_GB2312"/>
          <w:b/>
          <w:bCs/>
          <w:sz w:val="24"/>
          <w:szCs w:val="24"/>
          <w:highlight w:val="none"/>
        </w:rPr>
        <w:t>联系方式</w:t>
      </w:r>
    </w:p>
    <w:p>
      <w:pPr>
        <w:spacing w:line="520" w:lineRule="exact"/>
        <w:ind w:right="-147" w:firstLine="42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采 购 人：内蒙古电力（集团）有限责任公司内蒙古电力科学研究院分公司</w:t>
      </w:r>
    </w:p>
    <w:p>
      <w:pPr>
        <w:spacing w:line="520" w:lineRule="exact"/>
        <w:ind w:right="-147" w:firstLine="42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地    址：内蒙古呼和浩特市锡林南路21号</w:t>
      </w:r>
    </w:p>
    <w:p>
      <w:pPr>
        <w:spacing w:line="520" w:lineRule="exact"/>
        <w:ind w:right="-147" w:firstLine="42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联 系 人：张文霞</w:t>
      </w:r>
    </w:p>
    <w:p>
      <w:pPr>
        <w:spacing w:line="520" w:lineRule="exact"/>
        <w:ind w:right="-147" w:firstLine="42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联系电话：0471-6227444</w:t>
      </w:r>
    </w:p>
    <w:p>
      <w:pPr>
        <w:spacing w:line="520" w:lineRule="exact"/>
        <w:ind w:right="-147" w:firstLine="42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异议受理负责人：张文霞</w:t>
      </w:r>
    </w:p>
    <w:p>
      <w:pPr>
        <w:spacing w:line="520" w:lineRule="exact"/>
        <w:ind w:right="-147" w:firstLine="42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地    址：内蒙古呼和浩特市锡林南路21号</w:t>
      </w:r>
    </w:p>
    <w:p>
      <w:pPr>
        <w:spacing w:line="520" w:lineRule="exact"/>
        <w:ind w:right="-147" w:firstLine="42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邮    编：010020</w:t>
      </w:r>
    </w:p>
    <w:p>
      <w:pPr>
        <w:spacing w:line="520" w:lineRule="exact"/>
        <w:ind w:right="-147" w:firstLine="42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电    话：0471-6227444</w:t>
      </w:r>
    </w:p>
    <w:p>
      <w:pPr>
        <w:spacing w:line="520" w:lineRule="exact"/>
        <w:ind w:right="-147" w:firstLine="42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 xml:space="preserve">电子邮箱：nmgzszb@163.com </w:t>
      </w:r>
    </w:p>
    <w:p>
      <w:pPr>
        <w:spacing w:line="520" w:lineRule="exact"/>
        <w:ind w:right="-147" w:firstLine="420"/>
        <w:rPr>
          <w:rFonts w:hint="eastAsia" w:ascii="仿宋_GB2312" w:hAnsi="华文仿宋" w:eastAsia="仿宋_GB2312" w:cs="仿宋_GB2312"/>
          <w:sz w:val="24"/>
          <w:szCs w:val="24"/>
          <w:highlight w:val="none"/>
          <w:lang w:val="en-US" w:eastAsia="zh-CN"/>
        </w:rPr>
      </w:pPr>
      <w:r>
        <w:rPr>
          <w:rFonts w:hint="eastAsia" w:ascii="仿宋_GB2312" w:hAnsi="华文仿宋" w:eastAsia="仿宋_GB2312" w:cs="仿宋_GB2312"/>
          <w:sz w:val="24"/>
          <w:szCs w:val="24"/>
          <w:highlight w:val="none"/>
        </w:rPr>
        <w:t xml:space="preserve">采购代理机构：内蒙古中实工程招标咨询有限责任公司 </w:t>
      </w:r>
      <w:r>
        <w:rPr>
          <w:rFonts w:hint="eastAsia" w:ascii="仿宋_GB2312" w:hAnsi="华文仿宋" w:eastAsia="仿宋_GB2312" w:cs="仿宋_GB2312"/>
          <w:sz w:val="24"/>
          <w:szCs w:val="24"/>
          <w:highlight w:val="none"/>
          <w:lang w:val="en-US" w:eastAsia="zh-CN"/>
        </w:rPr>
        <w:t xml:space="preserve"> </w:t>
      </w:r>
    </w:p>
    <w:p>
      <w:pPr>
        <w:spacing w:line="520" w:lineRule="exact"/>
        <w:ind w:right="-147" w:firstLine="42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地     址：内蒙古呼和浩特市赛罕区鄂尔多斯东街银联大厦10层</w:t>
      </w:r>
    </w:p>
    <w:p>
      <w:pPr>
        <w:spacing w:line="520" w:lineRule="exact"/>
        <w:ind w:right="-147" w:firstLine="420"/>
        <w:rPr>
          <w:rFonts w:hint="eastAsia" w:ascii="仿宋_GB2312" w:hAnsi="华文仿宋" w:eastAsia="仿宋_GB2312" w:cs="仿宋_GB2312"/>
          <w:sz w:val="24"/>
          <w:szCs w:val="24"/>
          <w:highlight w:val="none"/>
          <w:lang w:val="en-US" w:eastAsia="zh-CN"/>
        </w:rPr>
      </w:pPr>
      <w:r>
        <w:rPr>
          <w:rFonts w:hint="eastAsia" w:ascii="仿宋_GB2312" w:hAnsi="华文仿宋" w:eastAsia="仿宋_GB2312" w:cs="仿宋_GB2312"/>
          <w:sz w:val="24"/>
          <w:szCs w:val="24"/>
          <w:highlight w:val="none"/>
        </w:rPr>
        <w:t>联 系 人：</w:t>
      </w:r>
      <w:r>
        <w:rPr>
          <w:rFonts w:hint="eastAsia" w:ascii="仿宋_GB2312" w:hAnsi="华文仿宋" w:eastAsia="仿宋_GB2312" w:cs="仿宋_GB2312"/>
          <w:sz w:val="24"/>
          <w:szCs w:val="24"/>
          <w:highlight w:val="none"/>
          <w:lang w:eastAsia="zh-CN"/>
        </w:rPr>
        <w:t>刘红燕</w:t>
      </w:r>
    </w:p>
    <w:p>
      <w:pPr>
        <w:spacing w:line="520" w:lineRule="exact"/>
        <w:ind w:right="-147" w:firstLine="420"/>
        <w:rPr>
          <w:rFonts w:hint="eastAsia" w:ascii="仿宋_GB2312" w:hAnsi="华文仿宋" w:eastAsia="仿宋_GB2312" w:cs="仿宋_GB2312"/>
          <w:sz w:val="24"/>
          <w:szCs w:val="24"/>
          <w:highlight w:val="none"/>
        </w:rPr>
      </w:pPr>
      <w:r>
        <w:rPr>
          <w:rFonts w:hint="eastAsia" w:ascii="仿宋_GB2312" w:hAnsi="华文仿宋" w:eastAsia="仿宋_GB2312" w:cs="仿宋_GB2312"/>
          <w:sz w:val="24"/>
          <w:szCs w:val="24"/>
          <w:highlight w:val="none"/>
        </w:rPr>
        <w:t>电    话：</w:t>
      </w:r>
      <w:r>
        <w:rPr>
          <w:rFonts w:hint="eastAsia" w:ascii="仿宋_GB2312" w:hAnsi="华文仿宋" w:eastAsia="仿宋_GB2312" w:cs="仿宋_GB2312"/>
          <w:sz w:val="24"/>
          <w:szCs w:val="24"/>
          <w:highlight w:val="none"/>
          <w:lang w:eastAsia="zh-CN"/>
        </w:rPr>
        <w:t>0471-5223635</w:t>
      </w:r>
      <w:r>
        <w:rPr>
          <w:rFonts w:hint="eastAsia" w:ascii="仿宋_GB2312" w:hAnsi="华文仿宋" w:eastAsia="仿宋_GB2312" w:cs="仿宋_GB2312"/>
          <w:sz w:val="24"/>
          <w:szCs w:val="24"/>
          <w:highlight w:val="none"/>
        </w:rPr>
        <w:t xml:space="preserve">  </w:t>
      </w:r>
    </w:p>
    <w:p>
      <w:pPr>
        <w:spacing w:line="520" w:lineRule="exact"/>
        <w:ind w:right="-147" w:firstLine="420"/>
        <w:rPr>
          <w:rFonts w:ascii="仿宋_GB2312" w:hAnsi="华文仿宋" w:eastAsia="仿宋_GB2312" w:cs="仿宋_GB2312"/>
          <w:kern w:val="0"/>
          <w:sz w:val="24"/>
          <w:szCs w:val="24"/>
          <w:highlight w:val="none"/>
        </w:rPr>
      </w:pPr>
      <w:r>
        <w:rPr>
          <w:rFonts w:hint="eastAsia" w:ascii="仿宋_GB2312" w:hAnsi="华文仿宋" w:eastAsia="仿宋_GB2312" w:cs="仿宋_GB2312"/>
          <w:sz w:val="24"/>
          <w:szCs w:val="24"/>
          <w:highlight w:val="none"/>
        </w:rPr>
        <w:t xml:space="preserve">电子邮件：nmgzszb@163.com        </w:t>
      </w:r>
      <w:r>
        <w:rPr>
          <w:rFonts w:hint="eastAsia" w:ascii="仿宋_GB2312" w:hAnsi="华文仿宋" w:eastAsia="仿宋_GB2312" w:cs="仿宋_GB2312"/>
          <w:kern w:val="0"/>
          <w:sz w:val="24"/>
          <w:szCs w:val="24"/>
          <w:highlight w:val="none"/>
        </w:rPr>
        <w:t xml:space="preserve">                </w:t>
      </w:r>
    </w:p>
    <w:p>
      <w:pPr>
        <w:shd w:val="clear" w:color="auto" w:fill="FFFFFF"/>
        <w:ind w:firstLine="480" w:firstLineChars="200"/>
        <w:jc w:val="right"/>
        <w:rPr>
          <w:rFonts w:hint="default"/>
          <w:b/>
          <w:bCs/>
          <w:highlight w:val="none"/>
          <w:lang w:val="en-US" w:eastAsia="zh-CN"/>
        </w:rPr>
        <w:sectPr>
          <w:footerReference r:id="rId5" w:type="default"/>
          <w:pgSz w:w="11906" w:h="16838"/>
          <w:pgMar w:top="1701" w:right="1701" w:bottom="1417" w:left="1701" w:header="1077" w:footer="992" w:gutter="0"/>
          <w:pgNumType w:fmt="decimal"/>
          <w:cols w:space="720" w:num="1"/>
          <w:docGrid w:type="lines" w:linePitch="312" w:charSpace="0"/>
        </w:sectPr>
      </w:pPr>
      <w:r>
        <w:rPr>
          <w:rFonts w:hint="eastAsia" w:ascii="仿宋_GB2312" w:hAnsi="华文仿宋" w:eastAsia="仿宋_GB2312" w:cs="仿宋_GB2312"/>
          <w:kern w:val="0"/>
          <w:sz w:val="24"/>
          <w:szCs w:val="24"/>
          <w:highlight w:val="none"/>
          <w:lang w:eastAsia="zh-CN"/>
        </w:rPr>
        <w:t>2024年02月2</w:t>
      </w:r>
      <w:r>
        <w:rPr>
          <w:rFonts w:hint="eastAsia" w:ascii="仿宋_GB2312" w:hAnsi="华文仿宋" w:eastAsia="仿宋_GB2312" w:cs="仿宋_GB2312"/>
          <w:kern w:val="0"/>
          <w:sz w:val="24"/>
          <w:szCs w:val="24"/>
          <w:highlight w:val="none"/>
          <w:lang w:val="en-US" w:eastAsia="zh-CN"/>
        </w:rPr>
        <w:t>9日</w:t>
      </w:r>
    </w:p>
    <w:bookmarkEnd w:id="32"/>
    <w:bookmarkEnd w:id="33"/>
    <w:bookmarkEnd w:id="34"/>
    <w:bookmarkEnd w:id="35"/>
    <w:bookmarkEnd w:id="36"/>
    <w:bookmarkEnd w:id="37"/>
    <w:p>
      <w:pPr>
        <w:widowControl w:val="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附件一</w:t>
      </w:r>
    </w:p>
    <w:p>
      <w:pPr>
        <w:keepNext w:val="0"/>
        <w:keepLines w:val="0"/>
        <w:pageBreakBefore w:val="0"/>
        <w:kinsoku/>
        <w:wordWrap/>
        <w:overflowPunct/>
        <w:topLinePunct w:val="0"/>
        <w:autoSpaceDE/>
        <w:autoSpaceDN/>
        <w:bidi w:val="0"/>
        <w:adjustRightInd/>
        <w:snapToGrid/>
        <w:spacing w:before="100" w:beforeAutospacing="1" w:after="100" w:afterAutospacing="1" w:line="312" w:lineRule="auto"/>
        <w:ind w:firstLine="482" w:firstLineChars="200"/>
        <w:jc w:val="center"/>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异议书</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致： （异议对象单位名称）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我公司依法参与了贵公司（局）于</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日组织（项目名称为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，招标/采购编号为：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标段名称(标段号)：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）的招标采购活动，该项目目前正处于：</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。现我公司对</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提出异议。</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一、被异议人</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sz w:val="24"/>
          <w:szCs w:val="24"/>
          <w:highlight w:val="none"/>
        </w:rPr>
        <w:t xml:space="preserve">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sz w:val="24"/>
          <w:szCs w:val="24"/>
          <w:highlight w:val="none"/>
        </w:rPr>
        <w:t xml:space="preserve">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二、异议事项</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sz w:val="24"/>
          <w:szCs w:val="24"/>
          <w:highlight w:val="none"/>
        </w:rPr>
        <w:t xml:space="preserve">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sz w:val="24"/>
          <w:szCs w:val="24"/>
          <w:highlight w:val="none"/>
        </w:rPr>
        <w:t xml:space="preserve">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三、请求及主张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sz w:val="24"/>
          <w:szCs w:val="24"/>
          <w:highlight w:val="none"/>
        </w:rPr>
        <w:t xml:space="preserve">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sz w:val="24"/>
          <w:szCs w:val="24"/>
          <w:highlight w:val="none"/>
        </w:rPr>
        <w:t xml:space="preserve">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四、法律依据、线索及相关材料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sz w:val="24"/>
          <w:szCs w:val="24"/>
          <w:highlight w:val="none"/>
        </w:rPr>
        <w:t xml:space="preserve">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sz w:val="24"/>
          <w:szCs w:val="24"/>
          <w:highlight w:val="none"/>
        </w:rPr>
        <w:t xml:space="preserve">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五、真实性承诺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sz w:val="24"/>
          <w:szCs w:val="24"/>
          <w:highlight w:val="none"/>
        </w:rPr>
        <w:t xml:space="preserve">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 xml:space="preserve">....... </w:t>
      </w:r>
      <w:r>
        <w:rPr>
          <w:rFonts w:hint="eastAsia" w:ascii="仿宋" w:hAnsi="仿宋" w:eastAsia="仿宋" w:cs="仿宋"/>
          <w:sz w:val="24"/>
          <w:szCs w:val="24"/>
          <w:highlight w:val="none"/>
        </w:rPr>
        <w:t xml:space="preserve"> 。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7200" w:firstLineChars="30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异议人：</w:t>
      </w:r>
      <w:r>
        <w:rPr>
          <w:rFonts w:hint="eastAsia" w:ascii="仿宋" w:hAnsi="仿宋" w:eastAsia="仿宋" w:cs="仿宋"/>
          <w:sz w:val="24"/>
          <w:szCs w:val="24"/>
          <w:highlight w:val="none"/>
          <w:u w:val="single"/>
        </w:rPr>
        <w:t xml:space="preserve">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联系电话：</w:t>
      </w:r>
      <w:r>
        <w:rPr>
          <w:rFonts w:hint="eastAsia" w:ascii="仿宋" w:hAnsi="仿宋" w:eastAsia="仿宋" w:cs="仿宋"/>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联系地址：</w:t>
      </w:r>
      <w:r>
        <w:rPr>
          <w:rFonts w:hint="eastAsia" w:ascii="仿宋" w:hAnsi="仿宋" w:eastAsia="仿宋" w:cs="仿宋"/>
          <w:sz w:val="24"/>
          <w:szCs w:val="24"/>
          <w:highlight w:val="none"/>
          <w:u w:val="single"/>
        </w:rPr>
        <w:t xml:space="preserve">             </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附件：1. 营业执照复印件</w:t>
      </w:r>
    </w:p>
    <w:p>
      <w:pPr>
        <w:keepNext w:val="0"/>
        <w:keepLines w:val="0"/>
        <w:pageBreakBefore w:val="0"/>
        <w:widowControl/>
        <w:tabs>
          <w:tab w:val="center" w:pos="4201"/>
          <w:tab w:val="right" w:leader="dot" w:pos="9298"/>
        </w:tabs>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2. 异议授权书</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注：异议人是法人的，异议书必须由其法定代表人签字盖章（非法定代表人需提供法定代表人授权书）；其他组织或者个人异议的，异议书必须由其主要负责人或者异议人本人签字，并附身份证明复印件。</w:t>
      </w:r>
    </w:p>
    <w:p>
      <w:pPr>
        <w:widowControl w:val="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br w:type="page"/>
      </w:r>
    </w:p>
    <w:p>
      <w:pPr>
        <w:widowControl w:val="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附件二</w:t>
      </w:r>
    </w:p>
    <w:p>
      <w:pPr>
        <w:widowControl w:val="0"/>
        <w:jc w:val="center"/>
        <w:rPr>
          <w:rFonts w:hint="eastAsia" w:ascii="仿宋" w:hAnsi="仿宋" w:eastAsia="仿宋" w:cs="仿宋"/>
          <w:kern w:val="2"/>
          <w:sz w:val="24"/>
          <w:szCs w:val="24"/>
          <w:highlight w:val="none"/>
          <w:lang w:val="en-US" w:eastAsia="zh-CN" w:bidi="ar-SA"/>
        </w:rPr>
      </w:pPr>
    </w:p>
    <w:p>
      <w:pPr>
        <w:widowControl w:val="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法定代表人身份证明</w:t>
      </w:r>
    </w:p>
    <w:p>
      <w:pPr>
        <w:spacing w:line="440" w:lineRule="exact"/>
        <w:jc w:val="center"/>
        <w:rPr>
          <w:rFonts w:hint="eastAsia" w:ascii="仿宋" w:hAnsi="仿宋" w:eastAsia="仿宋" w:cs="仿宋"/>
          <w:sz w:val="24"/>
          <w:szCs w:val="24"/>
          <w:highlight w:val="none"/>
        </w:rPr>
      </w:pPr>
    </w:p>
    <w:p>
      <w:pPr>
        <w:spacing w:line="360" w:lineRule="auto"/>
        <w:ind w:firstLine="480" w:firstLineChars="200"/>
        <w:rPr>
          <w:rFonts w:hint="eastAsia" w:ascii="仿宋" w:hAnsi="仿宋" w:eastAsia="仿宋" w:cs="仿宋"/>
          <w:sz w:val="24"/>
          <w:szCs w:val="24"/>
          <w:highlight w:val="none"/>
        </w:rPr>
      </w:pP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供应商名称：                             </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单位性质：                                </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地址：                                   </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成立时间：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日</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经营期限：</w:t>
      </w:r>
      <w:r>
        <w:rPr>
          <w:rFonts w:hint="eastAsia" w:ascii="仿宋" w:hAnsi="仿宋" w:eastAsia="仿宋" w:cs="仿宋"/>
          <w:sz w:val="24"/>
          <w:szCs w:val="24"/>
          <w:highlight w:val="none"/>
          <w:u w:val="single"/>
        </w:rPr>
        <w:t xml:space="preserve">                               </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姓名：</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性别：</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年龄：</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职务：</w:t>
      </w:r>
      <w:r>
        <w:rPr>
          <w:rFonts w:hint="eastAsia" w:ascii="仿宋" w:hAnsi="仿宋" w:eastAsia="仿宋" w:cs="仿宋"/>
          <w:sz w:val="24"/>
          <w:szCs w:val="24"/>
          <w:highlight w:val="none"/>
          <w:u w:val="single"/>
        </w:rPr>
        <w:t xml:space="preserve">        </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系</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（供应商名称）的法定代表人。</w:t>
      </w: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特此证明。</w:t>
      </w:r>
    </w:p>
    <w:p>
      <w:pPr>
        <w:widowControl w:val="0"/>
        <w:spacing w:line="360" w:lineRule="auto"/>
        <w:ind w:firstLine="480" w:firstLineChars="20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附：法定代表人身份证正反面</w:t>
      </w:r>
    </w:p>
    <w:p>
      <w:pPr>
        <w:spacing w:line="440" w:lineRule="exact"/>
        <w:rPr>
          <w:rFonts w:hint="eastAsia" w:ascii="仿宋" w:hAnsi="仿宋" w:eastAsia="仿宋" w:cs="仿宋"/>
          <w:sz w:val="24"/>
          <w:szCs w:val="24"/>
          <w:highlight w:val="none"/>
        </w:rPr>
      </w:pPr>
    </w:p>
    <w:p>
      <w:pPr>
        <w:spacing w:line="440" w:lineRule="exact"/>
        <w:jc w:val="righ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pPr>
        <w:spacing w:line="440" w:lineRule="exact"/>
        <w:jc w:val="righ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供应商：</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（盖单位章）</w:t>
      </w:r>
    </w:p>
    <w:p>
      <w:pPr>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pPr>
        <w:spacing w:line="440" w:lineRule="exact"/>
        <w:ind w:firstLine="3960" w:firstLineChars="1650"/>
        <w:jc w:val="right"/>
        <w:rPr>
          <w:rFonts w:hint="eastAsia" w:ascii="仿宋" w:hAnsi="仿宋" w:eastAsia="仿宋" w:cs="仿宋"/>
          <w:sz w:val="24"/>
          <w:szCs w:val="24"/>
          <w:highlight w:val="none"/>
        </w:rPr>
      </w:pP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日          </w:t>
      </w:r>
    </w:p>
    <w:p>
      <w:pPr>
        <w:spacing w:line="440" w:lineRule="exact"/>
        <w:ind w:firstLine="6000" w:firstLineChars="2500"/>
        <w:rPr>
          <w:rFonts w:hint="eastAsia" w:ascii="仿宋" w:hAnsi="仿宋" w:eastAsia="仿宋" w:cs="仿宋"/>
          <w:sz w:val="24"/>
          <w:szCs w:val="24"/>
          <w:highlight w:val="none"/>
        </w:rPr>
      </w:pPr>
    </w:p>
    <w:p>
      <w:pPr>
        <w:spacing w:line="440" w:lineRule="exact"/>
        <w:ind w:firstLine="6000" w:firstLineChars="2500"/>
        <w:rPr>
          <w:rFonts w:hint="eastAsia" w:ascii="仿宋" w:hAnsi="仿宋" w:eastAsia="仿宋" w:cs="仿宋"/>
          <w:sz w:val="24"/>
          <w:szCs w:val="24"/>
          <w:highlight w:val="none"/>
        </w:rPr>
      </w:pPr>
    </w:p>
    <w:p>
      <w:pPr>
        <w:spacing w:line="440" w:lineRule="exact"/>
        <w:rPr>
          <w:rFonts w:hint="eastAsia" w:ascii="仿宋" w:hAnsi="仿宋" w:eastAsia="仿宋" w:cs="仿宋"/>
          <w:sz w:val="24"/>
          <w:szCs w:val="24"/>
          <w:highlight w:val="none"/>
        </w:rPr>
      </w:pPr>
    </w:p>
    <w:p>
      <w:pPr>
        <w:ind w:firstLine="482" w:firstLineChars="200"/>
        <w:rPr>
          <w:rFonts w:hint="eastAsia" w:ascii="仿宋" w:hAnsi="仿宋" w:eastAsia="仿宋" w:cs="仿宋"/>
          <w:b/>
          <w:bCs/>
          <w:sz w:val="24"/>
          <w:szCs w:val="24"/>
          <w:highlight w:val="none"/>
        </w:rPr>
        <w:sectPr>
          <w:pgSz w:w="11906" w:h="16838"/>
          <w:pgMar w:top="1701" w:right="1701" w:bottom="1417" w:left="1701" w:header="1077" w:footer="992" w:gutter="0"/>
          <w:pgNumType w:fmt="decimal"/>
          <w:cols w:space="720" w:num="1"/>
          <w:docGrid w:type="lines" w:linePitch="312" w:charSpace="0"/>
        </w:sectPr>
      </w:pPr>
      <w:r>
        <w:rPr>
          <w:rFonts w:hint="eastAsia" w:ascii="仿宋" w:hAnsi="仿宋" w:eastAsia="仿宋" w:cs="仿宋"/>
          <w:b/>
          <w:bCs/>
          <w:sz w:val="24"/>
          <w:szCs w:val="24"/>
          <w:highlight w:val="none"/>
        </w:rPr>
        <w:t>注：如供应商是由法定代表人参加投标，则不需提供法定代表人授权委托书</w:t>
      </w:r>
    </w:p>
    <w:p>
      <w:pPr>
        <w:spacing w:line="360" w:lineRule="auto"/>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法定代表人授权委托书</w:t>
      </w:r>
    </w:p>
    <w:p>
      <w:pPr>
        <w:widowControl w:val="0"/>
        <w:jc w:val="both"/>
        <w:rPr>
          <w:rFonts w:hint="eastAsia" w:ascii="仿宋" w:hAnsi="仿宋" w:eastAsia="仿宋" w:cs="仿宋"/>
          <w:kern w:val="2"/>
          <w:sz w:val="24"/>
          <w:szCs w:val="24"/>
          <w:highlight w:val="none"/>
          <w:lang w:val="en-US" w:eastAsia="zh-CN" w:bidi="ar-SA"/>
        </w:rPr>
      </w:pPr>
    </w:p>
    <w:p>
      <w:pPr>
        <w:widowControl w:val="0"/>
        <w:jc w:val="both"/>
        <w:rPr>
          <w:rFonts w:hint="eastAsia" w:ascii="仿宋" w:hAnsi="仿宋" w:eastAsia="仿宋" w:cs="仿宋"/>
          <w:kern w:val="2"/>
          <w:sz w:val="24"/>
          <w:szCs w:val="24"/>
          <w:highlight w:val="none"/>
          <w:lang w:val="en-US" w:eastAsia="zh-CN" w:bidi="ar-SA"/>
        </w:rPr>
      </w:pPr>
    </w:p>
    <w:p>
      <w:pPr>
        <w:topLinePunct/>
        <w:spacing w:line="44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（姓名）系</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（供应商名称）的法定代表人，现委托</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（姓名）为我方委托代理人。委托代理人根据授权，以我方名义签署、澄清、说明、补正、递交、撤回、修改</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（项目名称）的投标文件、签订合同和处理有关事宜，其法律后果由我方承担。</w:t>
      </w:r>
    </w:p>
    <w:p>
      <w:pPr>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委托期限：</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pPr>
        <w:spacing w:line="44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委托代理人无转委托权。</w:t>
      </w:r>
    </w:p>
    <w:p>
      <w:pPr>
        <w:spacing w:line="44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附：法定代表人及委托代理人身份证正反面</w:t>
      </w:r>
    </w:p>
    <w:p>
      <w:pPr>
        <w:spacing w:line="440" w:lineRule="exact"/>
        <w:rPr>
          <w:rFonts w:hint="eastAsia" w:ascii="仿宋" w:hAnsi="仿宋" w:eastAsia="仿宋" w:cs="仿宋"/>
          <w:sz w:val="24"/>
          <w:szCs w:val="24"/>
          <w:highlight w:val="none"/>
        </w:rPr>
      </w:pPr>
    </w:p>
    <w:p>
      <w:pPr>
        <w:widowControl w:val="0"/>
        <w:jc w:val="both"/>
        <w:rPr>
          <w:rFonts w:hint="eastAsia" w:ascii="仿宋" w:hAnsi="仿宋" w:eastAsia="仿宋" w:cs="仿宋"/>
          <w:kern w:val="2"/>
          <w:sz w:val="24"/>
          <w:szCs w:val="24"/>
          <w:highlight w:val="none"/>
          <w:lang w:val="en-US" w:eastAsia="zh-CN" w:bidi="ar-SA"/>
        </w:rPr>
      </w:pPr>
    </w:p>
    <w:p>
      <w:pPr>
        <w:widowControl w:val="0"/>
        <w:jc w:val="both"/>
        <w:rPr>
          <w:rFonts w:hint="eastAsia" w:ascii="仿宋" w:hAnsi="仿宋" w:eastAsia="仿宋" w:cs="仿宋"/>
          <w:kern w:val="2"/>
          <w:sz w:val="24"/>
          <w:szCs w:val="24"/>
          <w:highlight w:val="none"/>
          <w:lang w:val="en-US" w:eastAsia="zh-CN" w:bidi="ar-SA"/>
        </w:rPr>
      </w:pPr>
    </w:p>
    <w:p>
      <w:pPr>
        <w:spacing w:line="48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供应商：</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（盖单位章）</w:t>
      </w:r>
    </w:p>
    <w:p>
      <w:pPr>
        <w:spacing w:line="48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（签字）</w:t>
      </w:r>
    </w:p>
    <w:p>
      <w:pPr>
        <w:spacing w:line="480" w:lineRule="auto"/>
        <w:ind w:firstLine="480" w:firstLineChars="200"/>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身份证号码：</w:t>
      </w:r>
      <w:r>
        <w:rPr>
          <w:rFonts w:hint="eastAsia" w:ascii="仿宋" w:hAnsi="仿宋" w:eastAsia="仿宋" w:cs="仿宋"/>
          <w:sz w:val="24"/>
          <w:szCs w:val="24"/>
          <w:highlight w:val="none"/>
          <w:u w:val="single"/>
        </w:rPr>
        <w:t xml:space="preserve">                          </w:t>
      </w:r>
    </w:p>
    <w:p>
      <w:pPr>
        <w:spacing w:line="48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委托代理人：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（签字） </w:t>
      </w:r>
    </w:p>
    <w:p>
      <w:pPr>
        <w:spacing w:line="480" w:lineRule="auto"/>
        <w:ind w:firstLine="480" w:firstLineChars="200"/>
        <w:rPr>
          <w:rFonts w:hint="default" w:ascii="仿宋" w:hAnsi="仿宋" w:eastAsia="仿宋" w:cs="仿宋"/>
          <w:sz w:val="24"/>
          <w:szCs w:val="24"/>
          <w:highlight w:val="none"/>
          <w:u w:val="single"/>
          <w:lang w:val="en-US" w:eastAsia="zh-CN"/>
        </w:rPr>
      </w:pPr>
      <w:r>
        <w:rPr>
          <w:rFonts w:hint="eastAsia" w:ascii="仿宋" w:hAnsi="仿宋" w:eastAsia="仿宋" w:cs="仿宋"/>
          <w:sz w:val="24"/>
          <w:szCs w:val="24"/>
          <w:highlight w:val="none"/>
        </w:rPr>
        <w:t>身份证号码：</w:t>
      </w:r>
      <w:r>
        <w:rPr>
          <w:rFonts w:hint="eastAsia" w:ascii="仿宋" w:hAnsi="仿宋" w:eastAsia="仿宋" w:cs="仿宋"/>
          <w:sz w:val="24"/>
          <w:szCs w:val="24"/>
          <w:highlight w:val="none"/>
          <w:u w:val="single"/>
          <w:lang w:val="en-US" w:eastAsia="zh-CN"/>
        </w:rPr>
        <w:t xml:space="preserve">                          </w:t>
      </w:r>
    </w:p>
    <w:p>
      <w:pPr>
        <w:widowControl w:val="0"/>
        <w:jc w:val="both"/>
        <w:rPr>
          <w:rFonts w:hint="eastAsia" w:ascii="仿宋" w:hAnsi="仿宋" w:eastAsia="仿宋" w:cs="仿宋"/>
          <w:kern w:val="2"/>
          <w:sz w:val="24"/>
          <w:szCs w:val="24"/>
          <w:highlight w:val="none"/>
          <w:lang w:val="en-US" w:eastAsia="zh-CN" w:bidi="ar-SA"/>
        </w:rPr>
      </w:pPr>
    </w:p>
    <w:p>
      <w:pPr>
        <w:widowControl w:val="0"/>
        <w:jc w:val="both"/>
        <w:rPr>
          <w:rFonts w:hint="eastAsia" w:ascii="仿宋" w:hAnsi="仿宋" w:eastAsia="仿宋" w:cs="仿宋"/>
          <w:kern w:val="2"/>
          <w:sz w:val="24"/>
          <w:szCs w:val="24"/>
          <w:highlight w:val="none"/>
          <w:lang w:val="en-US" w:eastAsia="zh-CN" w:bidi="ar-SA"/>
        </w:rPr>
      </w:pPr>
    </w:p>
    <w:p>
      <w:pPr>
        <w:spacing w:line="440" w:lineRule="exact"/>
        <w:jc w:val="right"/>
        <w:rPr>
          <w:rFonts w:hint="eastAsia" w:ascii="仿宋" w:hAnsi="仿宋" w:eastAsia="仿宋" w:cs="仿宋"/>
          <w:sz w:val="24"/>
          <w:szCs w:val="24"/>
          <w:highlight w:val="none"/>
        </w:rPr>
      </w:pP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日</w:t>
      </w:r>
    </w:p>
    <w:p>
      <w:pPr>
        <w:widowControl w:val="0"/>
        <w:jc w:val="both"/>
        <w:rPr>
          <w:rFonts w:hint="eastAsia" w:ascii="仿宋" w:hAnsi="仿宋" w:eastAsia="仿宋" w:cs="仿宋"/>
          <w:kern w:val="2"/>
          <w:sz w:val="24"/>
          <w:szCs w:val="24"/>
          <w:highlight w:val="none"/>
          <w:lang w:val="en-US" w:eastAsia="zh-CN" w:bidi="ar-SA"/>
        </w:rPr>
      </w:pPr>
    </w:p>
    <w:p>
      <w:pPr>
        <w:widowControl w:val="0"/>
        <w:jc w:val="both"/>
        <w:rPr>
          <w:rFonts w:hint="eastAsia" w:ascii="仿宋" w:hAnsi="仿宋" w:eastAsia="仿宋" w:cs="仿宋"/>
          <w:kern w:val="2"/>
          <w:sz w:val="24"/>
          <w:szCs w:val="24"/>
          <w:highlight w:val="none"/>
          <w:lang w:val="en-US" w:eastAsia="zh-CN" w:bidi="ar-SA"/>
        </w:rPr>
      </w:pPr>
    </w:p>
    <w:p>
      <w:pPr>
        <w:widowControl w:val="0"/>
        <w:jc w:val="both"/>
        <w:rPr>
          <w:rFonts w:hint="eastAsia" w:ascii="仿宋" w:hAnsi="仿宋" w:eastAsia="仿宋" w:cs="仿宋"/>
          <w:kern w:val="2"/>
          <w:sz w:val="24"/>
          <w:szCs w:val="24"/>
          <w:highlight w:val="none"/>
          <w:lang w:val="en-US" w:eastAsia="zh-CN" w:bidi="ar-SA"/>
        </w:rPr>
      </w:pPr>
    </w:p>
    <w:p>
      <w:pPr>
        <w:widowControl w:val="0"/>
        <w:jc w:val="both"/>
        <w:rPr>
          <w:rFonts w:hint="eastAsia" w:ascii="仿宋" w:hAnsi="仿宋" w:eastAsia="仿宋" w:cs="仿宋"/>
          <w:kern w:val="2"/>
          <w:sz w:val="24"/>
          <w:szCs w:val="24"/>
          <w:highlight w:val="none"/>
          <w:lang w:val="en-US" w:eastAsia="zh-CN" w:bidi="ar-SA"/>
        </w:rPr>
      </w:pPr>
    </w:p>
    <w:p>
      <w:pPr>
        <w:widowControl w:val="0"/>
        <w:ind w:firstLine="482" w:firstLineChars="200"/>
        <w:jc w:val="both"/>
        <w:rPr>
          <w:rFonts w:hint="eastAsia"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注：如供应商是由法定代表人参加投标，则不需提供授权委托书。</w:t>
      </w:r>
    </w:p>
    <w:p>
      <w:pPr>
        <w:rPr>
          <w:rFonts w:hint="eastAsia" w:ascii="仿宋" w:hAnsi="仿宋" w:eastAsia="仿宋" w:cs="仿宋"/>
          <w:kern w:val="0"/>
          <w:sz w:val="24"/>
          <w:szCs w:val="24"/>
          <w:highlight w:val="none"/>
          <w:lang w:val="en-US" w:eastAsia="zh-CN" w:bidi="ar-SA"/>
        </w:rPr>
      </w:pPr>
    </w:p>
    <w:p>
      <w:pP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附件三： 响应真实性承诺书</w:t>
      </w:r>
    </w:p>
    <w:p>
      <w:pPr>
        <w:spacing w:line="520" w:lineRule="exact"/>
        <w:jc w:val="center"/>
        <w:rPr>
          <w:rFonts w:hint="eastAsia" w:ascii="仿宋" w:hAnsi="仿宋" w:eastAsia="仿宋" w:cs="仿宋"/>
          <w:b/>
          <w:bCs/>
          <w:sz w:val="24"/>
          <w:szCs w:val="24"/>
          <w:highlight w:val="none"/>
        </w:rPr>
      </w:pPr>
    </w:p>
    <w:p>
      <w:pPr>
        <w:spacing w:line="520" w:lineRule="exact"/>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响应真实性承诺书</w:t>
      </w:r>
    </w:p>
    <w:p>
      <w:pPr>
        <w:spacing w:line="520" w:lineRule="exact"/>
        <w:rPr>
          <w:rFonts w:hint="eastAsia" w:ascii="仿宋" w:hAnsi="仿宋" w:eastAsia="仿宋" w:cs="仿宋"/>
          <w:sz w:val="24"/>
          <w:szCs w:val="24"/>
          <w:highlight w:val="none"/>
        </w:rPr>
      </w:pPr>
    </w:p>
    <w:p>
      <w:pPr>
        <w:spacing w:line="360" w:lineRule="auto"/>
        <w:rPr>
          <w:rFonts w:hint="eastAsia" w:ascii="仿宋" w:hAnsi="仿宋" w:eastAsia="仿宋" w:cs="仿宋"/>
          <w:sz w:val="24"/>
          <w:szCs w:val="24"/>
          <w:highlight w:val="none"/>
        </w:rPr>
      </w:pPr>
    </w:p>
    <w:p>
      <w:pPr>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rPr>
        <w:t xml:space="preserve"> 内蒙古电力（集团）有限责任公司内蒙古电力科学研究院分公司</w:t>
      </w:r>
    </w:p>
    <w:p>
      <w:pPr>
        <w:widowControl w:val="0"/>
        <w:spacing w:after="0" w:line="360" w:lineRule="auto"/>
        <w:jc w:val="both"/>
        <w:rPr>
          <w:rFonts w:hint="eastAsia" w:ascii="仿宋" w:hAnsi="仿宋" w:eastAsia="仿宋" w:cs="仿宋"/>
          <w:kern w:val="0"/>
          <w:sz w:val="24"/>
          <w:szCs w:val="24"/>
          <w:highlight w:val="none"/>
          <w:u w:val="single"/>
          <w:lang w:val="en-US" w:eastAsia="zh-CN" w:bidi="ar-SA"/>
        </w:rPr>
      </w:pPr>
      <w:r>
        <w:rPr>
          <w:rFonts w:hint="eastAsia" w:ascii="仿宋" w:hAnsi="仿宋" w:eastAsia="仿宋" w:cs="仿宋"/>
          <w:kern w:val="0"/>
          <w:sz w:val="24"/>
          <w:szCs w:val="24"/>
          <w:highlight w:val="none"/>
          <w:lang w:val="en-US" w:eastAsia="zh-CN" w:bidi="ar-SA"/>
        </w:rPr>
        <w:t xml:space="preserve">    </w:t>
      </w:r>
      <w:r>
        <w:rPr>
          <w:rFonts w:hint="eastAsia" w:ascii="仿宋" w:hAnsi="仿宋" w:eastAsia="仿宋" w:cs="仿宋"/>
          <w:kern w:val="0"/>
          <w:sz w:val="24"/>
          <w:szCs w:val="24"/>
          <w:highlight w:val="none"/>
          <w:u w:val="single"/>
          <w:lang w:val="en-US" w:eastAsia="zh-CN" w:bidi="ar-SA"/>
        </w:rPr>
        <w:t xml:space="preserve"> 内蒙古中实工程招标咨询有限责任公司</w:t>
      </w:r>
    </w:p>
    <w:p>
      <w:pPr>
        <w:widowControl w:val="0"/>
        <w:spacing w:after="0" w:line="360" w:lineRule="auto"/>
        <w:jc w:val="both"/>
        <w:rPr>
          <w:rFonts w:hint="eastAsia" w:ascii="仿宋" w:hAnsi="仿宋" w:eastAsia="仿宋" w:cs="仿宋"/>
          <w:kern w:val="0"/>
          <w:sz w:val="24"/>
          <w:szCs w:val="24"/>
          <w:highlight w:val="none"/>
          <w:u w:val="single"/>
          <w:lang w:val="en-US" w:eastAsia="zh-CN" w:bidi="ar-SA"/>
        </w:rPr>
      </w:pPr>
    </w:p>
    <w:p>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本人 </w:t>
      </w:r>
      <w:r>
        <w:rPr>
          <w:rFonts w:hint="eastAsia" w:ascii="仿宋" w:hAnsi="仿宋" w:eastAsia="仿宋" w:cs="仿宋"/>
          <w:sz w:val="24"/>
          <w:szCs w:val="24"/>
          <w:highlight w:val="none"/>
          <w:u w:val="single"/>
        </w:rPr>
        <w:t>（法定代表人姓名）</w:t>
      </w:r>
      <w:r>
        <w:rPr>
          <w:rFonts w:hint="eastAsia" w:ascii="仿宋" w:hAnsi="仿宋" w:eastAsia="仿宋" w:cs="仿宋"/>
          <w:sz w:val="24"/>
          <w:szCs w:val="24"/>
          <w:highlight w:val="none"/>
        </w:rPr>
        <w:t>以</w:t>
      </w:r>
      <w:r>
        <w:rPr>
          <w:rFonts w:hint="eastAsia" w:ascii="仿宋" w:hAnsi="仿宋" w:eastAsia="仿宋" w:cs="仿宋"/>
          <w:sz w:val="24"/>
          <w:szCs w:val="24"/>
          <w:highlight w:val="none"/>
          <w:u w:val="single"/>
        </w:rPr>
        <w:t xml:space="preserve">         （供应商全称）       </w:t>
      </w:r>
      <w:r>
        <w:rPr>
          <w:rFonts w:hint="eastAsia" w:ascii="仿宋" w:hAnsi="仿宋" w:eastAsia="仿宋" w:cs="仿宋"/>
          <w:sz w:val="24"/>
          <w:szCs w:val="24"/>
          <w:highlight w:val="none"/>
        </w:rPr>
        <w:t>法定代表人的资格郑重承诺如下：</w:t>
      </w:r>
    </w:p>
    <w:p>
      <w:pPr>
        <w:widowControl w:val="0"/>
        <w:spacing w:after="0" w:line="360" w:lineRule="auto"/>
        <w:ind w:firstLine="48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本单位参加的</w:t>
      </w:r>
      <w:r>
        <w:rPr>
          <w:rFonts w:hint="eastAsia" w:ascii="仿宋" w:hAnsi="仿宋" w:eastAsia="仿宋" w:cs="仿宋"/>
          <w:kern w:val="0"/>
          <w:sz w:val="24"/>
          <w:szCs w:val="24"/>
          <w:highlight w:val="none"/>
          <w:u w:val="single"/>
          <w:lang w:val="en-US" w:eastAsia="zh-CN" w:bidi="ar-SA"/>
        </w:rPr>
        <w:t xml:space="preserve">         （项目名称）          </w:t>
      </w:r>
      <w:r>
        <w:rPr>
          <w:rFonts w:hint="eastAsia" w:ascii="仿宋" w:hAnsi="仿宋" w:eastAsia="仿宋" w:cs="仿宋"/>
          <w:kern w:val="0"/>
          <w:sz w:val="24"/>
          <w:szCs w:val="24"/>
          <w:highlight w:val="none"/>
          <w:lang w:val="en-US" w:eastAsia="zh-CN" w:bidi="ar-SA"/>
        </w:rPr>
        <w:t>投标，提交的所有资料均真实有效，如有虚假，我单位愿意接受采购人作出的取消竞标资格、成交资格及没收响应保证金、履约保证金的决定，同时愿意接受招采购人及上级主管部门作出的其它处罚决定。</w:t>
      </w:r>
    </w:p>
    <w:p>
      <w:pPr>
        <w:widowControl w:val="0"/>
        <w:spacing w:after="0" w:line="360" w:lineRule="auto"/>
        <w:ind w:firstLine="480"/>
        <w:jc w:val="both"/>
        <w:rPr>
          <w:rFonts w:hint="eastAsia" w:ascii="仿宋" w:hAnsi="仿宋" w:eastAsia="仿宋" w:cs="仿宋"/>
          <w:kern w:val="0"/>
          <w:sz w:val="24"/>
          <w:szCs w:val="24"/>
          <w:highlight w:val="none"/>
          <w:lang w:val="en-US" w:eastAsia="zh-CN" w:bidi="ar-SA"/>
        </w:rPr>
      </w:pPr>
    </w:p>
    <w:p>
      <w:pPr>
        <w:widowControl w:val="0"/>
        <w:spacing w:after="0" w:line="360" w:lineRule="auto"/>
        <w:ind w:firstLine="48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单位名称：（盖章）</w:t>
      </w:r>
    </w:p>
    <w:p>
      <w:pPr>
        <w:widowControl w:val="0"/>
        <w:spacing w:after="0" w:line="360" w:lineRule="auto"/>
        <w:ind w:firstLine="480"/>
        <w:jc w:val="both"/>
        <w:rPr>
          <w:rFonts w:hint="eastAsia" w:ascii="仿宋" w:hAnsi="仿宋" w:eastAsia="仿宋" w:cs="仿宋"/>
          <w:kern w:val="0"/>
          <w:sz w:val="24"/>
          <w:szCs w:val="24"/>
          <w:highlight w:val="none"/>
          <w:lang w:val="en-US" w:eastAsia="zh-CN" w:bidi="ar-SA"/>
        </w:rPr>
      </w:pPr>
    </w:p>
    <w:p>
      <w:pPr>
        <w:widowControl w:val="0"/>
        <w:spacing w:after="0" w:line="360" w:lineRule="auto"/>
        <w:ind w:firstLine="48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法定代表人：（签字或签章）</w:t>
      </w:r>
    </w:p>
    <w:p>
      <w:pPr>
        <w:spacing w:line="520" w:lineRule="exact"/>
        <w:rPr>
          <w:rFonts w:hint="eastAsia" w:ascii="仿宋" w:hAnsi="仿宋" w:eastAsia="仿宋" w:cs="仿宋"/>
          <w:sz w:val="24"/>
          <w:szCs w:val="24"/>
          <w:highlight w:val="none"/>
        </w:rPr>
      </w:pPr>
    </w:p>
    <w:p>
      <w:pPr>
        <w:spacing w:line="520" w:lineRule="exact"/>
        <w:rPr>
          <w:rFonts w:hint="eastAsia" w:ascii="仿宋" w:hAnsi="仿宋" w:eastAsia="仿宋" w:cs="仿宋"/>
          <w:sz w:val="24"/>
          <w:szCs w:val="24"/>
          <w:highlight w:val="none"/>
        </w:rPr>
      </w:pPr>
    </w:p>
    <w:p>
      <w:pP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时间：</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年</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月</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日</w:t>
      </w:r>
    </w:p>
    <w:p>
      <w:pP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br w:type="page"/>
      </w:r>
    </w:p>
    <w:p>
      <w:pPr>
        <w:widowControl w:val="0"/>
        <w:spacing w:after="0" w:line="360" w:lineRule="auto"/>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附件四：截图查询</w:t>
      </w:r>
    </w:p>
    <w:p>
      <w:pPr>
        <w:ind w:right="-1029" w:rightChars="-490"/>
        <w:outlineLvl w:val="2"/>
        <w:rPr>
          <w:rFonts w:hint="eastAsia" w:ascii="仿宋" w:hAnsi="仿宋" w:eastAsia="仿宋" w:cs="仿宋"/>
          <w:b/>
          <w:sz w:val="32"/>
          <w:highlight w:val="none"/>
          <w:lang w:eastAsia="zh-CN"/>
        </w:rPr>
      </w:pPr>
      <w:r>
        <w:rPr>
          <w:rFonts w:hint="eastAsia" w:ascii="仿宋" w:hAnsi="仿宋" w:eastAsia="仿宋" w:cs="仿宋"/>
          <w:b/>
          <w:sz w:val="32"/>
          <w:highlight w:val="none"/>
          <w:lang w:eastAsia="zh-CN"/>
        </w:rPr>
        <w:t>1：国家企业信用信息公示系统查询方式</w:t>
      </w:r>
    </w:p>
    <w:p>
      <w:pPr>
        <w:spacing w:line="520" w:lineRule="exact"/>
        <w:rPr>
          <w:rFonts w:hint="eastAsia" w:ascii="仿宋" w:hAnsi="仿宋" w:eastAsia="仿宋" w:cs="仿宋"/>
          <w:bCs/>
          <w:sz w:val="24"/>
          <w:highlight w:val="none"/>
        </w:rPr>
      </w:pPr>
      <w:r>
        <w:rPr>
          <w:rFonts w:hint="eastAsia" w:ascii="仿宋" w:hAnsi="仿宋" w:eastAsia="仿宋" w:cs="仿宋"/>
          <w:bCs/>
          <w:sz w:val="24"/>
          <w:highlight w:val="none"/>
        </w:rPr>
        <w:t>1、登录“国家企业信用信息公示系统”网站地址：</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"http://www.gsxt.gov.cn/index.html" </w:instrText>
      </w:r>
      <w:r>
        <w:rPr>
          <w:rFonts w:hint="eastAsia" w:ascii="仿宋" w:hAnsi="仿宋" w:eastAsia="仿宋" w:cs="仿宋"/>
          <w:highlight w:val="none"/>
        </w:rPr>
        <w:fldChar w:fldCharType="separate"/>
      </w:r>
      <w:r>
        <w:rPr>
          <w:rStyle w:val="11"/>
          <w:rFonts w:hint="eastAsia" w:ascii="仿宋" w:hAnsi="仿宋" w:eastAsia="仿宋" w:cs="仿宋"/>
          <w:bCs/>
          <w:sz w:val="24"/>
          <w:highlight w:val="none"/>
        </w:rPr>
        <w:t>http://www.gsxt.gov.cn/index.html</w:t>
      </w:r>
      <w:r>
        <w:rPr>
          <w:rStyle w:val="11"/>
          <w:rFonts w:hint="eastAsia" w:ascii="仿宋" w:hAnsi="仿宋" w:eastAsia="仿宋" w:cs="仿宋"/>
          <w:bCs/>
          <w:sz w:val="24"/>
          <w:highlight w:val="none"/>
        </w:rPr>
        <w:fldChar w:fldCharType="end"/>
      </w:r>
      <w:r>
        <w:rPr>
          <w:rFonts w:hint="eastAsia" w:ascii="仿宋" w:hAnsi="仿宋" w:eastAsia="仿宋" w:cs="仿宋"/>
          <w:bCs/>
          <w:sz w:val="24"/>
          <w:highlight w:val="none"/>
        </w:rPr>
        <w:t>，在查询窗口输入企业名称，点击查询。</w:t>
      </w:r>
    </w:p>
    <w:p>
      <w:pPr>
        <w:ind w:firstLine="425"/>
        <w:rPr>
          <w:rFonts w:ascii="Times New Roman" w:hAnsi="Times New Roman" w:eastAsia="宋体" w:cs="Times New Roman"/>
          <w:szCs w:val="21"/>
          <w:highlight w:val="none"/>
        </w:rPr>
      </w:pPr>
      <w:r>
        <w:rPr>
          <w:rFonts w:ascii="Times New Roman" w:hAnsi="Times New Roman" w:eastAsia="宋体" w:cs="Times New Roman"/>
          <w:highlight w:val="none"/>
        </w:rPr>
        <w:drawing>
          <wp:anchor distT="0" distB="0" distL="114300" distR="114300" simplePos="0" relativeHeight="251664384" behindDoc="0" locked="0" layoutInCell="1" allowOverlap="1">
            <wp:simplePos x="0" y="0"/>
            <wp:positionH relativeFrom="column">
              <wp:posOffset>-774065</wp:posOffset>
            </wp:positionH>
            <wp:positionV relativeFrom="paragraph">
              <wp:posOffset>17145</wp:posOffset>
            </wp:positionV>
            <wp:extent cx="7244715" cy="3479165"/>
            <wp:effectExtent l="0" t="0" r="9525" b="10795"/>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1"/>
                    <a:stretch>
                      <a:fillRect/>
                    </a:stretch>
                  </pic:blipFill>
                  <pic:spPr>
                    <a:xfrm>
                      <a:off x="0" y="0"/>
                      <a:ext cx="7244715" cy="3479165"/>
                    </a:xfrm>
                    <a:prstGeom prst="rect">
                      <a:avLst/>
                    </a:prstGeom>
                    <a:noFill/>
                    <a:ln>
                      <a:noFill/>
                    </a:ln>
                  </pic:spPr>
                </pic:pic>
              </a:graphicData>
            </a:graphic>
          </wp:anchor>
        </w:drawing>
      </w:r>
    </w:p>
    <w:p>
      <w:pPr>
        <w:spacing w:line="520" w:lineRule="exact"/>
        <w:rPr>
          <w:rFonts w:hint="eastAsia" w:ascii="Times New Roman" w:hAnsi="Times New Roman" w:eastAsia="宋体" w:cs="Times New Roman"/>
          <w:bCs/>
          <w:sz w:val="24"/>
          <w:highlight w:val="none"/>
          <w:lang w:eastAsia="zh-CN"/>
        </w:rPr>
      </w:pPr>
      <w:r>
        <w:rPr>
          <w:rFonts w:ascii="Times New Roman" w:hAnsi="Times New Roman" w:eastAsia="宋体" w:cs="Times New Roman"/>
          <w:szCs w:val="21"/>
          <w:highlight w:val="none"/>
        </w:rPr>
        <w:br w:type="page"/>
      </w:r>
      <w:r>
        <w:rPr>
          <w:rFonts w:hint="eastAsia" w:ascii="仿宋" w:hAnsi="仿宋" w:eastAsia="仿宋" w:cs="仿宋"/>
          <w:bCs/>
          <w:sz w:val="24"/>
          <w:highlight w:val="none"/>
        </w:rPr>
        <w:t>2、点击进入企业界面。</w:t>
      </w:r>
    </w:p>
    <w:p>
      <w:pPr>
        <w:pStyle w:val="7"/>
        <w:rPr>
          <w:rFonts w:ascii="Times New Roman" w:hAnsi="Times New Roman" w:eastAsia="宋体" w:cs="Times New Roman"/>
          <w:highlight w:val="none"/>
          <w:lang w:eastAsia="zh-CN"/>
        </w:rPr>
      </w:pPr>
      <w:r>
        <w:rPr>
          <w:rFonts w:ascii="Times New Roman" w:hAnsi="Times New Roman" w:eastAsia="宋体" w:cs="Times New Roman"/>
          <w:highlight w:val="none"/>
        </w:rPr>
        <w:drawing>
          <wp:anchor distT="0" distB="0" distL="114300" distR="114300" simplePos="0" relativeHeight="251665408" behindDoc="0" locked="0" layoutInCell="1" allowOverlap="1">
            <wp:simplePos x="0" y="0"/>
            <wp:positionH relativeFrom="column">
              <wp:posOffset>-741680</wp:posOffset>
            </wp:positionH>
            <wp:positionV relativeFrom="paragraph">
              <wp:posOffset>156210</wp:posOffset>
            </wp:positionV>
            <wp:extent cx="7170420" cy="3465830"/>
            <wp:effectExtent l="0" t="0" r="7620" b="8890"/>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tretch>
                      <a:fillRect/>
                    </a:stretch>
                  </pic:blipFill>
                  <pic:spPr>
                    <a:xfrm>
                      <a:off x="0" y="0"/>
                      <a:ext cx="7170420" cy="3465830"/>
                    </a:xfrm>
                    <a:prstGeom prst="rect">
                      <a:avLst/>
                    </a:prstGeom>
                    <a:noFill/>
                    <a:ln>
                      <a:noFill/>
                    </a:ln>
                  </pic:spPr>
                </pic:pic>
              </a:graphicData>
            </a:graphic>
          </wp:anchor>
        </w:drawing>
      </w:r>
    </w:p>
    <w:p>
      <w:pPr>
        <w:ind w:right="-1029" w:rightChars="-490"/>
        <w:rPr>
          <w:rFonts w:ascii="Times New Roman" w:hAnsi="Times New Roman" w:eastAsia="宋体" w:cs="Times New Roman"/>
          <w:szCs w:val="21"/>
          <w:highlight w:val="none"/>
        </w:rPr>
      </w:pPr>
    </w:p>
    <w:p>
      <w:pPr>
        <w:rPr>
          <w:rFonts w:ascii="Times New Roman" w:hAnsi="Times New Roman" w:eastAsia="宋体" w:cs="Times New Roman"/>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rPr>
          <w:rFonts w:ascii="Times New Roman" w:hAnsi="Times New Roman" w:eastAsia="宋体" w:cs="Times New Roman"/>
          <w:b/>
          <w:sz w:val="32"/>
          <w:highlight w:val="none"/>
        </w:rPr>
      </w:pPr>
    </w:p>
    <w:p>
      <w:pPr>
        <w:numPr>
          <w:ilvl w:val="0"/>
          <w:numId w:val="0"/>
        </w:numPr>
      </w:pPr>
    </w:p>
    <w:p>
      <w:pPr>
        <w:numPr>
          <w:ilvl w:val="0"/>
          <w:numId w:val="0"/>
        </w:numPr>
        <w:rPr>
          <w:b/>
          <w:sz w:val="32"/>
          <w:highlight w:val="none"/>
          <w:lang w:eastAsia="zh-CN"/>
        </w:rPr>
      </w:pPr>
    </w:p>
    <w:p>
      <w:pPr>
        <w:numPr>
          <w:ilvl w:val="0"/>
          <w:numId w:val="0"/>
        </w:numPr>
        <w:rPr>
          <w:b/>
          <w:sz w:val="32"/>
          <w:highlight w:val="none"/>
          <w:lang w:eastAsia="zh-CN"/>
        </w:rPr>
      </w:pPr>
    </w:p>
    <w:p>
      <w:pPr>
        <w:numPr>
          <w:ilvl w:val="0"/>
          <w:numId w:val="0"/>
        </w:numPr>
        <w:rPr>
          <w:b/>
          <w:sz w:val="32"/>
          <w:highlight w:val="none"/>
          <w:lang w:eastAsia="zh-CN"/>
        </w:rPr>
      </w:pPr>
    </w:p>
    <w:p>
      <w:pPr>
        <w:numPr>
          <w:ilvl w:val="0"/>
          <w:numId w:val="0"/>
        </w:numPr>
        <w:rPr>
          <w:b/>
          <w:sz w:val="32"/>
          <w:highlight w:val="none"/>
          <w:lang w:eastAsia="zh-CN"/>
        </w:rPr>
      </w:pPr>
    </w:p>
    <w:p>
      <w:pPr>
        <w:numPr>
          <w:ilvl w:val="0"/>
          <w:numId w:val="0"/>
        </w:numPr>
        <w:rPr>
          <w:b/>
          <w:sz w:val="32"/>
          <w:highlight w:val="none"/>
          <w:lang w:eastAsia="zh-CN"/>
        </w:rPr>
      </w:pPr>
      <w:r>
        <w:rPr>
          <w:rFonts w:hint="eastAsia" w:ascii="仿宋" w:hAnsi="仿宋" w:eastAsia="仿宋" w:cs="仿宋"/>
          <w:bCs/>
          <w:sz w:val="24"/>
          <w:szCs w:val="24"/>
          <w:highlight w:val="none"/>
          <w:lang w:val="en-US" w:eastAsia="zh-CN"/>
        </w:rPr>
        <w:t>3、</w:t>
      </w:r>
      <w:r>
        <w:rPr>
          <w:rFonts w:hint="eastAsia" w:ascii="仿宋" w:hAnsi="仿宋" w:eastAsia="仿宋" w:cs="仿宋"/>
          <w:bCs/>
          <w:sz w:val="24"/>
          <w:szCs w:val="24"/>
          <w:highlight w:val="none"/>
          <w:lang w:eastAsia="zh-CN"/>
        </w:rPr>
        <w:t>点击“列入严重违法失信企业名单（黑名单）信息”</w:t>
      </w:r>
      <w:r>
        <w:rPr>
          <w:rFonts w:hint="eastAsia" w:ascii="仿宋" w:hAnsi="仿宋" w:eastAsia="仿宋" w:cs="仿宋"/>
          <w:bCs/>
          <w:sz w:val="24"/>
          <w:szCs w:val="24"/>
          <w:highlight w:val="none"/>
          <w:lang w:val="en-US" w:eastAsia="zh-CN"/>
        </w:rPr>
        <w:t>及“列入异常经营名录信息”</w:t>
      </w:r>
      <w:r>
        <w:rPr>
          <w:rFonts w:hint="eastAsia" w:ascii="仿宋" w:hAnsi="仿宋" w:eastAsia="仿宋" w:cs="仿宋"/>
          <w:bCs/>
          <w:sz w:val="24"/>
          <w:szCs w:val="24"/>
          <w:highlight w:val="none"/>
          <w:lang w:eastAsia="zh-CN"/>
        </w:rPr>
        <w:t>，，查询后</w:t>
      </w:r>
      <w:r>
        <w:rPr>
          <w:rFonts w:hint="eastAsia" w:ascii="仿宋" w:hAnsi="仿宋" w:eastAsia="仿宋" w:cs="仿宋"/>
          <w:bCs/>
          <w:sz w:val="24"/>
          <w:szCs w:val="24"/>
          <w:highlight w:val="none"/>
          <w:lang w:val="en-US" w:eastAsia="zh-CN"/>
        </w:rPr>
        <w:t>分别</w:t>
      </w:r>
      <w:r>
        <w:rPr>
          <w:rFonts w:hint="eastAsia" w:ascii="仿宋" w:hAnsi="仿宋" w:eastAsia="仿宋" w:cs="仿宋"/>
          <w:bCs/>
          <w:sz w:val="24"/>
          <w:szCs w:val="24"/>
          <w:highlight w:val="none"/>
          <w:lang w:eastAsia="zh-CN"/>
        </w:rPr>
        <w:t>截图。</w:t>
      </w:r>
    </w:p>
    <w:p>
      <w:pPr>
        <w:numPr>
          <w:ilvl w:val="0"/>
          <w:numId w:val="0"/>
        </w:numPr>
        <w:rPr>
          <w:b/>
          <w:sz w:val="32"/>
          <w:highlight w:val="none"/>
          <w:lang w:eastAsia="zh-CN"/>
        </w:rPr>
      </w:pPr>
      <w:r>
        <w:drawing>
          <wp:anchor distT="0" distB="0" distL="114300" distR="114300" simplePos="0" relativeHeight="251667456" behindDoc="0" locked="0" layoutInCell="1" allowOverlap="1">
            <wp:simplePos x="0" y="0"/>
            <wp:positionH relativeFrom="column">
              <wp:posOffset>-41275</wp:posOffset>
            </wp:positionH>
            <wp:positionV relativeFrom="paragraph">
              <wp:posOffset>3856990</wp:posOffset>
            </wp:positionV>
            <wp:extent cx="5757545" cy="3589655"/>
            <wp:effectExtent l="0" t="0" r="3175" b="6985"/>
            <wp:wrapSquare wrapText="bothSides"/>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3"/>
                    <a:stretch>
                      <a:fillRect/>
                    </a:stretch>
                  </pic:blipFill>
                  <pic:spPr>
                    <a:xfrm>
                      <a:off x="0" y="0"/>
                      <a:ext cx="5757545" cy="3589655"/>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-41910</wp:posOffset>
            </wp:positionH>
            <wp:positionV relativeFrom="paragraph">
              <wp:posOffset>156210</wp:posOffset>
            </wp:positionV>
            <wp:extent cx="5753100" cy="3549650"/>
            <wp:effectExtent l="0" t="0" r="7620" b="1270"/>
            <wp:wrapSquare wrapText="bothSides"/>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4"/>
                    <a:stretch>
                      <a:fillRect/>
                    </a:stretch>
                  </pic:blipFill>
                  <pic:spPr>
                    <a:xfrm>
                      <a:off x="0" y="0"/>
                      <a:ext cx="5753100" cy="3549650"/>
                    </a:xfrm>
                    <a:prstGeom prst="rect">
                      <a:avLst/>
                    </a:prstGeom>
                    <a:noFill/>
                    <a:ln>
                      <a:noFill/>
                    </a:ln>
                  </pic:spPr>
                </pic:pic>
              </a:graphicData>
            </a:graphic>
          </wp:anchor>
        </w:drawing>
      </w:r>
    </w:p>
    <w:p>
      <w:pPr>
        <w:numPr>
          <w:ilvl w:val="0"/>
          <w:numId w:val="0"/>
        </w:numPr>
        <w:rPr>
          <w:b/>
          <w:sz w:val="32"/>
          <w:highlight w:val="none"/>
          <w:lang w:eastAsia="zh-CN"/>
        </w:rPr>
      </w:pPr>
    </w:p>
    <w:p>
      <w:pPr>
        <w:numPr>
          <w:ilvl w:val="0"/>
          <w:numId w:val="0"/>
        </w:numPr>
        <w:rPr>
          <w:b/>
          <w:sz w:val="32"/>
          <w:highlight w:val="none"/>
          <w:lang w:eastAsia="zh-CN"/>
        </w:rPr>
        <w:sectPr>
          <w:footerReference r:id="rId7" w:type="first"/>
          <w:footerReference r:id="rId6" w:type="default"/>
          <w:pgSz w:w="11906" w:h="16838"/>
          <w:pgMar w:top="1418" w:right="1418" w:bottom="1418" w:left="1418" w:header="680" w:footer="680" w:gutter="0"/>
          <w:pgNumType w:fmt="decimal"/>
          <w:cols w:space="720" w:num="1"/>
          <w:titlePg/>
          <w:docGrid w:linePitch="312" w:charSpace="0"/>
        </w:sectPr>
      </w:pPr>
    </w:p>
    <w:p>
      <w:pPr>
        <w:ind w:right="-1029" w:rightChars="-490"/>
        <w:outlineLvl w:val="2"/>
        <w:rPr>
          <w:rFonts w:hint="eastAsia" w:ascii="仿宋" w:hAnsi="仿宋" w:eastAsia="仿宋" w:cs="仿宋"/>
          <w:b/>
          <w:sz w:val="32"/>
          <w:highlight w:val="none"/>
          <w:lang w:eastAsia="zh-CN"/>
        </w:rPr>
      </w:pPr>
      <w:r>
        <w:rPr>
          <w:rFonts w:hint="eastAsia" w:ascii="仿宋" w:hAnsi="仿宋" w:eastAsia="仿宋" w:cs="仿宋"/>
          <w:b/>
          <w:sz w:val="32"/>
          <w:highlight w:val="none"/>
          <w:lang w:eastAsia="zh-CN"/>
        </w:rPr>
        <w:t>2：信用中国查询方式</w:t>
      </w:r>
    </w:p>
    <w:p>
      <w:pPr>
        <w:numPr>
          <w:ilvl w:val="0"/>
          <w:numId w:val="2"/>
        </w:numPr>
        <w:rPr>
          <w:rFonts w:hint="eastAsia" w:ascii="仿宋" w:hAnsi="仿宋" w:eastAsia="仿宋" w:cs="仿宋"/>
          <w:bCs/>
          <w:sz w:val="24"/>
          <w:szCs w:val="24"/>
          <w:highlight w:val="none"/>
        </w:rPr>
      </w:pPr>
      <w:r>
        <w:rPr>
          <w:rFonts w:hint="eastAsia" w:ascii="仿宋" w:hAnsi="仿宋" w:eastAsia="仿宋" w:cs="仿宋"/>
          <w:sz w:val="24"/>
          <w:szCs w:val="32"/>
          <w:highlight w:val="none"/>
        </w:rPr>
        <w:drawing>
          <wp:anchor distT="0" distB="0" distL="114300" distR="114300" simplePos="0" relativeHeight="251659264" behindDoc="0" locked="0" layoutInCell="1" allowOverlap="1">
            <wp:simplePos x="0" y="0"/>
            <wp:positionH relativeFrom="column">
              <wp:posOffset>-731520</wp:posOffset>
            </wp:positionH>
            <wp:positionV relativeFrom="paragraph">
              <wp:posOffset>443865</wp:posOffset>
            </wp:positionV>
            <wp:extent cx="7174865" cy="3443605"/>
            <wp:effectExtent l="0" t="0" r="3175" b="63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7174865" cy="3443605"/>
                    </a:xfrm>
                    <a:prstGeom prst="rect">
                      <a:avLst/>
                    </a:prstGeom>
                    <a:noFill/>
                    <a:ln>
                      <a:noFill/>
                    </a:ln>
                  </pic:spPr>
                </pic:pic>
              </a:graphicData>
            </a:graphic>
          </wp:anchor>
        </w:drawing>
      </w:r>
      <w:r>
        <w:rPr>
          <w:rFonts w:hint="eastAsia" w:ascii="仿宋" w:hAnsi="仿宋" w:eastAsia="仿宋" w:cs="仿宋"/>
          <w:sz w:val="24"/>
          <w:szCs w:val="24"/>
          <w:highlight w:val="none"/>
        </w:rPr>
        <w:t>国家信息中心主办“信用中国”网站地址：http://www.creditchina.gov.cn打开网页后，点击“信用服务”。</w:t>
      </w:r>
      <w:r>
        <w:rPr>
          <w:rFonts w:ascii="Times New Roman" w:hAnsi="Times New Roman" w:eastAsia="宋体" w:cs="Times New Roman"/>
          <w:highlight w:val="none"/>
        </w:rPr>
        <w:br w:type="page"/>
      </w:r>
      <w:r>
        <w:rPr>
          <w:rFonts w:hint="eastAsia" w:ascii="仿宋" w:hAnsi="仿宋" w:eastAsia="仿宋" w:cs="仿宋"/>
          <w:sz w:val="24"/>
          <w:szCs w:val="24"/>
          <w:highlight w:val="none"/>
        </w:rPr>
        <w:t>2、</w:t>
      </w:r>
      <w:r>
        <w:rPr>
          <w:rFonts w:hint="eastAsia" w:ascii="仿宋" w:hAnsi="仿宋" w:eastAsia="仿宋" w:cs="仿宋"/>
          <w:bCs/>
          <w:sz w:val="24"/>
          <w:szCs w:val="24"/>
          <w:highlight w:val="none"/>
        </w:rPr>
        <w:t>在以下页面中</w:t>
      </w:r>
      <w:r>
        <w:rPr>
          <w:rFonts w:hint="eastAsia" w:ascii="仿宋" w:hAnsi="仿宋" w:eastAsia="仿宋" w:cs="仿宋"/>
          <w:bCs/>
          <w:sz w:val="24"/>
          <w:szCs w:val="24"/>
          <w:highlight w:val="none"/>
          <w:lang w:val="en-US" w:eastAsia="zh-CN"/>
        </w:rPr>
        <w:t>分别</w:t>
      </w:r>
      <w:r>
        <w:rPr>
          <w:rFonts w:hint="eastAsia" w:ascii="仿宋" w:hAnsi="仿宋" w:eastAsia="仿宋" w:cs="仿宋"/>
          <w:bCs/>
          <w:sz w:val="24"/>
          <w:szCs w:val="24"/>
          <w:highlight w:val="none"/>
        </w:rPr>
        <w:t>点击</w:t>
      </w:r>
      <w:r>
        <w:rPr>
          <w:rFonts w:hint="eastAsia" w:ascii="仿宋" w:hAnsi="仿宋" w:eastAsia="仿宋" w:cs="仿宋"/>
          <w:bCs/>
          <w:sz w:val="24"/>
          <w:szCs w:val="24"/>
          <w:highlight w:val="none"/>
          <w:lang w:eastAsia="zh-CN"/>
        </w:rPr>
        <w:t>“</w:t>
      </w:r>
      <w:r>
        <w:rPr>
          <w:rFonts w:hint="eastAsia" w:ascii="仿宋" w:hAnsi="仿宋" w:eastAsia="仿宋" w:cs="仿宋"/>
          <w:sz w:val="24"/>
          <w:szCs w:val="24"/>
          <w:highlight w:val="none"/>
          <w:lang w:eastAsia="zh-CN"/>
        </w:rPr>
        <w:t>重大税收失信主体</w:t>
      </w: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rPr>
        <w:t>“失信被执行人”</w:t>
      </w:r>
    </w:p>
    <w:p>
      <w:pPr>
        <w:pStyle w:val="8"/>
        <w:numPr>
          <w:ilvl w:val="0"/>
          <w:numId w:val="0"/>
        </w:numPr>
      </w:pPr>
      <w:r>
        <w:drawing>
          <wp:inline distT="0" distB="0" distL="114300" distR="114300">
            <wp:extent cx="5757545" cy="4040505"/>
            <wp:effectExtent l="0" t="0" r="3175" b="1333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6"/>
                    <a:stretch>
                      <a:fillRect/>
                    </a:stretch>
                  </pic:blipFill>
                  <pic:spPr>
                    <a:xfrm>
                      <a:off x="0" y="0"/>
                      <a:ext cx="5757545" cy="4040505"/>
                    </a:xfrm>
                    <a:prstGeom prst="rect">
                      <a:avLst/>
                    </a:prstGeom>
                    <a:noFill/>
                    <a:ln>
                      <a:noFill/>
                    </a:ln>
                  </pic:spPr>
                </pic:pic>
              </a:graphicData>
            </a:graphic>
          </wp:inline>
        </w:drawing>
      </w:r>
    </w:p>
    <w:p>
      <w:pPr>
        <w:pStyle w:val="8"/>
        <w:numPr>
          <w:ilvl w:val="0"/>
          <w:numId w:val="0"/>
        </w:numPr>
      </w:pPr>
      <w:r>
        <w:drawing>
          <wp:inline distT="0" distB="0" distL="114300" distR="114300">
            <wp:extent cx="5424170" cy="4347210"/>
            <wp:effectExtent l="0" t="0" r="1270" b="1143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7"/>
                    <a:stretch>
                      <a:fillRect/>
                    </a:stretch>
                  </pic:blipFill>
                  <pic:spPr>
                    <a:xfrm>
                      <a:off x="0" y="0"/>
                      <a:ext cx="5424170" cy="4347210"/>
                    </a:xfrm>
                    <a:prstGeom prst="rect">
                      <a:avLst/>
                    </a:prstGeom>
                    <a:noFill/>
                    <a:ln>
                      <a:noFill/>
                    </a:ln>
                  </pic:spPr>
                </pic:pic>
              </a:graphicData>
            </a:graphic>
          </wp:inline>
        </w:drawing>
      </w:r>
    </w:p>
    <w:p>
      <w:pPr>
        <w:ind w:firstLine="482"/>
        <w:jc w:val="center"/>
        <w:rPr>
          <w:rFonts w:ascii="Times New Roman" w:hAnsi="Times New Roman" w:eastAsia="宋体" w:cs="Times New Roman"/>
          <w:highlight w:val="none"/>
        </w:rPr>
      </w:pPr>
    </w:p>
    <w:p>
      <w:pPr>
        <w:widowControl/>
        <w:autoSpaceDE w:val="0"/>
        <w:autoSpaceDN w:val="0"/>
        <w:snapToGrid w:val="0"/>
        <w:spacing w:line="360" w:lineRule="auto"/>
        <w:ind w:firstLine="240" w:firstLineChars="10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3、在</w:t>
      </w:r>
      <w:r>
        <w:rPr>
          <w:rFonts w:hint="eastAsia" w:ascii="仿宋" w:hAnsi="仿宋" w:eastAsia="仿宋" w:cs="仿宋"/>
          <w:sz w:val="24"/>
          <w:szCs w:val="24"/>
          <w:highlight w:val="none"/>
          <w:lang w:val="en-US" w:eastAsia="zh-CN"/>
        </w:rPr>
        <w:t>点击失信被执行人后</w:t>
      </w:r>
      <w:r>
        <w:rPr>
          <w:rFonts w:hint="eastAsia" w:ascii="仿宋" w:hAnsi="仿宋" w:eastAsia="仿宋" w:cs="仿宋"/>
          <w:sz w:val="24"/>
          <w:szCs w:val="24"/>
          <w:highlight w:val="none"/>
          <w:lang w:eastAsia="zh-CN"/>
        </w:rPr>
        <w:t>弹出窗口进入链接网站，在查询窗口输入查询企业名称，将查询结果截图。</w:t>
      </w:r>
    </w:p>
    <w:p>
      <w:pPr>
        <w:widowControl/>
        <w:autoSpaceDE w:val="0"/>
        <w:autoSpaceDN w:val="0"/>
        <w:snapToGrid w:val="0"/>
        <w:spacing w:line="360" w:lineRule="auto"/>
        <w:ind w:firstLine="420" w:firstLineChars="200"/>
        <w:rPr>
          <w:rFonts w:ascii="Times New Roman" w:hAnsi="Times New Roman" w:eastAsia="宋体" w:cs="Times New Roman"/>
          <w:szCs w:val="21"/>
          <w:highlight w:val="none"/>
          <w:lang w:eastAsia="zh-CN"/>
        </w:rPr>
      </w:pPr>
      <w:r>
        <w:rPr>
          <w:rFonts w:eastAsia="宋体"/>
          <w:highlight w:val="none"/>
          <w:lang w:eastAsia="zh-CN"/>
        </w:rPr>
        <w:drawing>
          <wp:anchor distT="0" distB="0" distL="114300" distR="114300" simplePos="0" relativeHeight="251660288" behindDoc="0" locked="0" layoutInCell="1" allowOverlap="1">
            <wp:simplePos x="0" y="0"/>
            <wp:positionH relativeFrom="column">
              <wp:posOffset>-409575</wp:posOffset>
            </wp:positionH>
            <wp:positionV relativeFrom="paragraph">
              <wp:posOffset>134620</wp:posOffset>
            </wp:positionV>
            <wp:extent cx="6831330" cy="4017010"/>
            <wp:effectExtent l="0" t="0" r="11430" b="635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6831330" cy="4017010"/>
                    </a:xfrm>
                    <a:prstGeom prst="rect">
                      <a:avLst/>
                    </a:prstGeom>
                    <a:noFill/>
                    <a:ln>
                      <a:noFill/>
                    </a:ln>
                  </pic:spPr>
                </pic:pic>
              </a:graphicData>
            </a:graphic>
          </wp:anchor>
        </w:drawing>
      </w:r>
    </w:p>
    <w:p>
      <w:pPr>
        <w:pStyle w:val="4"/>
        <w:jc w:val="center"/>
        <w:rPr>
          <w:rFonts w:eastAsia="宋体"/>
          <w:highlight w:val="none"/>
        </w:rPr>
      </w:pPr>
    </w:p>
    <w:p>
      <w:pPr>
        <w:pStyle w:val="4"/>
        <w:rPr>
          <w:rFonts w:eastAsia="宋体"/>
          <w:highlight w:val="none"/>
        </w:rPr>
      </w:pPr>
    </w:p>
    <w:p>
      <w:pPr>
        <w:pStyle w:val="4"/>
        <w:jc w:val="center"/>
        <w:rPr>
          <w:rFonts w:hint="eastAsia" w:eastAsia="宋体"/>
          <w:highlight w:val="none"/>
          <w:lang w:eastAsia="zh-CN"/>
        </w:rPr>
        <w:sectPr>
          <w:footerReference r:id="rId9" w:type="first"/>
          <w:footerReference r:id="rId8" w:type="default"/>
          <w:pgSz w:w="11906" w:h="16838"/>
          <w:pgMar w:top="1418" w:right="1418" w:bottom="1418" w:left="1418" w:header="680" w:footer="680" w:gutter="0"/>
          <w:pgNumType w:fmt="decimal"/>
          <w:cols w:space="720" w:num="1"/>
          <w:titlePg/>
          <w:docGrid w:linePitch="312" w:charSpace="0"/>
        </w:sectPr>
      </w:pPr>
      <w:r>
        <w:rPr>
          <w:rFonts w:hint="eastAsia" w:eastAsia="宋体"/>
          <w:highlight w:val="none"/>
          <w:lang w:eastAsia="zh-CN"/>
        </w:rPr>
        <w:drawing>
          <wp:anchor distT="0" distB="0" distL="114300" distR="114300" simplePos="0" relativeHeight="251661312" behindDoc="0" locked="0" layoutInCell="1" allowOverlap="1">
            <wp:simplePos x="0" y="0"/>
            <wp:positionH relativeFrom="column">
              <wp:posOffset>-419735</wp:posOffset>
            </wp:positionH>
            <wp:positionV relativeFrom="paragraph">
              <wp:posOffset>3686175</wp:posOffset>
            </wp:positionV>
            <wp:extent cx="6859270" cy="3561715"/>
            <wp:effectExtent l="0" t="0" r="13970" b="4445"/>
            <wp:wrapNone/>
            <wp:docPr id="3"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4"/>
                    <pic:cNvPicPr>
                      <a:picLocks noChangeAspect="1"/>
                    </pic:cNvPicPr>
                  </pic:nvPicPr>
                  <pic:blipFill>
                    <a:blip r:embed="rId19"/>
                    <a:stretch>
                      <a:fillRect/>
                    </a:stretch>
                  </pic:blipFill>
                  <pic:spPr>
                    <a:xfrm>
                      <a:off x="0" y="0"/>
                      <a:ext cx="6859270" cy="3561715"/>
                    </a:xfrm>
                    <a:prstGeom prst="rect">
                      <a:avLst/>
                    </a:prstGeom>
                    <a:noFill/>
                    <a:ln>
                      <a:noFill/>
                    </a:ln>
                  </pic:spPr>
                </pic:pic>
              </a:graphicData>
            </a:graphic>
          </wp:anchor>
        </w:drawing>
      </w:r>
    </w:p>
    <w:p>
      <w:pPr>
        <w:ind w:right="-1029" w:rightChars="-490"/>
        <w:outlineLvl w:val="2"/>
        <w:rPr>
          <w:rFonts w:hint="eastAsia" w:ascii="仿宋" w:hAnsi="仿宋" w:eastAsia="仿宋" w:cs="仿宋"/>
          <w:b/>
          <w:highlight w:val="none"/>
          <w:lang w:eastAsia="zh-CN"/>
        </w:rPr>
      </w:pPr>
      <w:bookmarkStart w:id="74" w:name="_Toc9085"/>
      <w:bookmarkStart w:id="75" w:name="_Toc15378"/>
      <w:r>
        <w:rPr>
          <w:rFonts w:hint="eastAsia" w:ascii="仿宋" w:hAnsi="仿宋" w:eastAsia="仿宋" w:cs="仿宋"/>
          <w:b/>
          <w:sz w:val="32"/>
          <w:highlight w:val="none"/>
          <w:lang w:eastAsia="zh-CN"/>
        </w:rPr>
        <w:t>3：中国裁判文书网查询方式</w:t>
      </w:r>
      <w:bookmarkEnd w:id="74"/>
      <w:bookmarkEnd w:id="75"/>
    </w:p>
    <w:p>
      <w:pPr>
        <w:pStyle w:val="12"/>
        <w:spacing w:line="480" w:lineRule="auto"/>
        <w:ind w:firstLine="0" w:firstLineChars="0"/>
        <w:rPr>
          <w:rFonts w:hint="eastAsia" w:ascii="仿宋" w:hAnsi="仿宋" w:eastAsia="仿宋" w:cs="仿宋"/>
          <w:b/>
          <w:sz w:val="24"/>
          <w:szCs w:val="24"/>
          <w:highlight w:val="none"/>
          <w:lang w:eastAsia="zh-CN"/>
        </w:rPr>
      </w:pPr>
      <w:r>
        <w:rPr>
          <w:rFonts w:hint="eastAsia" w:ascii="仿宋" w:hAnsi="仿宋" w:eastAsia="仿宋" w:cs="仿宋"/>
          <w:b/>
          <w:sz w:val="24"/>
          <w:szCs w:val="24"/>
          <w:highlight w:val="none"/>
          <w:lang w:eastAsia="zh-CN"/>
        </w:rPr>
        <w:t>1、投标人查询</w:t>
      </w:r>
    </w:p>
    <w:p>
      <w:pPr>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（1）打开“中国裁判文书网”网站（http://wenshu.court.gov.cn/），点击高级检索；</w:t>
      </w:r>
    </w:p>
    <w:p>
      <w:pPr>
        <w:ind w:firstLine="48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（2）在全文检索中输入“行贿罪”，并选择“全文”；</w:t>
      </w:r>
    </w:p>
    <w:p>
      <w:pPr>
        <w:ind w:firstLine="48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（3）在“当事人”处输入投标人全称；</w:t>
      </w:r>
    </w:p>
    <w:p>
      <w:pPr>
        <w:ind w:firstLine="48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（4）在裁判日期选择近三年（20</w:t>
      </w:r>
      <w:r>
        <w:rPr>
          <w:rFonts w:hint="eastAsia" w:ascii="仿宋" w:hAnsi="仿宋" w:eastAsia="仿宋" w:cs="仿宋"/>
          <w:sz w:val="24"/>
          <w:szCs w:val="24"/>
          <w:highlight w:val="none"/>
          <w:lang w:val="en-US" w:eastAsia="zh-CN"/>
        </w:rPr>
        <w:t>21</w:t>
      </w:r>
      <w:r>
        <w:rPr>
          <w:rFonts w:hint="eastAsia" w:ascii="仿宋" w:hAnsi="仿宋" w:eastAsia="仿宋" w:cs="仿宋"/>
          <w:sz w:val="24"/>
          <w:szCs w:val="24"/>
          <w:highlight w:val="none"/>
          <w:lang w:eastAsia="zh-CN"/>
        </w:rPr>
        <w:t>年1月1日至响应截止时间），点击检索；</w:t>
      </w:r>
    </w:p>
    <w:p>
      <w:pPr>
        <w:ind w:firstLine="480"/>
        <w:rPr>
          <w:rFonts w:ascii="Times New Roman" w:hAnsi="Times New Roman" w:eastAsia="宋体" w:cs="Times New Roman"/>
          <w:highlight w:val="none"/>
          <w:lang w:eastAsia="zh-CN"/>
        </w:rPr>
      </w:pPr>
      <w:r>
        <w:rPr>
          <w:rFonts w:hint="eastAsia" w:ascii="仿宋" w:hAnsi="仿宋" w:eastAsia="仿宋" w:cs="仿宋"/>
          <w:sz w:val="24"/>
          <w:szCs w:val="24"/>
          <w:highlight w:val="none"/>
          <w:lang w:eastAsia="zh-CN"/>
        </w:rPr>
        <w:t>（5）截取成功截图如下（须截取到左上角的时间）。</w:t>
      </w:r>
    </w:p>
    <w:p>
      <w:pPr>
        <w:pStyle w:val="12"/>
        <w:spacing w:line="480" w:lineRule="auto"/>
        <w:ind w:firstLine="0" w:firstLineChars="0"/>
        <w:jc w:val="left"/>
        <w:rPr>
          <w:rFonts w:hint="eastAsia" w:ascii="仿宋" w:hAnsi="仿宋" w:eastAsia="仿宋" w:cs="仿宋"/>
          <w:b/>
          <w:sz w:val="24"/>
          <w:szCs w:val="24"/>
          <w:highlight w:val="none"/>
          <w:lang w:eastAsia="zh-CN"/>
        </w:rPr>
      </w:pPr>
      <w:r>
        <w:rPr>
          <w:rFonts w:ascii="Times New Roman" w:hAnsi="Times New Roman" w:eastAsia="宋体" w:cs="Times New Roman"/>
          <w:highlight w:val="none"/>
          <w:lang w:eastAsia="zh-CN"/>
        </w:rPr>
        <w:drawing>
          <wp:anchor distT="0" distB="0" distL="114300" distR="114300" simplePos="0" relativeHeight="251662336" behindDoc="0" locked="0" layoutInCell="1" allowOverlap="1">
            <wp:simplePos x="0" y="0"/>
            <wp:positionH relativeFrom="column">
              <wp:posOffset>-384175</wp:posOffset>
            </wp:positionH>
            <wp:positionV relativeFrom="paragraph">
              <wp:posOffset>199390</wp:posOffset>
            </wp:positionV>
            <wp:extent cx="6547485" cy="3216275"/>
            <wp:effectExtent l="0" t="0" r="5715" b="14605"/>
            <wp:wrapNone/>
            <wp:docPr id="5"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3"/>
                    <pic:cNvPicPr>
                      <a:picLocks noChangeAspect="1"/>
                    </pic:cNvPicPr>
                  </pic:nvPicPr>
                  <pic:blipFill>
                    <a:blip r:embed="rId20"/>
                    <a:stretch>
                      <a:fillRect/>
                    </a:stretch>
                  </pic:blipFill>
                  <pic:spPr>
                    <a:xfrm>
                      <a:off x="0" y="0"/>
                      <a:ext cx="6547485" cy="3216275"/>
                    </a:xfrm>
                    <a:prstGeom prst="rect">
                      <a:avLst/>
                    </a:prstGeom>
                    <a:noFill/>
                    <a:ln>
                      <a:noFill/>
                    </a:ln>
                  </pic:spPr>
                </pic:pic>
              </a:graphicData>
            </a:graphic>
          </wp:anchor>
        </w:drawing>
      </w:r>
      <w:r>
        <w:rPr>
          <w:rFonts w:ascii="Times New Roman" w:hAnsi="Times New Roman" w:eastAsia="宋体" w:cs="Times New Roman"/>
          <w:highlight w:val="none"/>
          <w:lang w:eastAsia="zh-CN"/>
        </w:rPr>
        <w:br w:type="page"/>
      </w: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lang w:eastAsia="zh-CN"/>
        </w:rPr>
        <w:t>企业法定代表人查询</w:t>
      </w:r>
    </w:p>
    <w:p>
      <w:pPr>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（1）打开“中国裁判文书网”网站（http://wenshu.court.gov.cn/），点击高级检索；</w:t>
      </w:r>
    </w:p>
    <w:p>
      <w:pPr>
        <w:ind w:firstLine="48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（2）在全文检索中输入“行贿罪”，并选择“全文”，在“当事人”处输入企业法定代表人姓名；</w:t>
      </w:r>
    </w:p>
    <w:p>
      <w:pPr>
        <w:ind w:firstLine="48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（3）在裁判日期选择近三年（2021年1月1日至响应截止时间），点击检索；</w:t>
      </w:r>
    </w:p>
    <w:p>
      <w:pPr>
        <w:ind w:firstLine="48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（4）然后点击保存搜索条件；再次点击高级检索，在全文检索中输入投标人全称，并选择“全文”，点击检索；</w:t>
      </w:r>
    </w:p>
    <w:p>
      <w:pPr>
        <w:ind w:firstLine="480"/>
        <w:rPr>
          <w:rFonts w:hint="eastAsia" w:ascii="Times New Roman" w:hAnsi="Times New Roman" w:eastAsia="宋体" w:cs="Times New Roman"/>
          <w:highlight w:val="none"/>
          <w:lang w:eastAsia="zh-CN"/>
        </w:rPr>
      </w:pPr>
      <w:r>
        <w:rPr>
          <w:rFonts w:hint="eastAsia" w:ascii="仿宋" w:hAnsi="仿宋" w:eastAsia="仿宋" w:cs="仿宋"/>
          <w:sz w:val="24"/>
          <w:szCs w:val="24"/>
          <w:highlight w:val="none"/>
          <w:lang w:eastAsia="zh-CN"/>
        </w:rPr>
        <w:t>（5）截取成功截图如下（须截取到左上角的时间）</w:t>
      </w:r>
    </w:p>
    <w:p>
      <w:pPr>
        <w:bidi w:val="0"/>
        <w:rPr>
          <w:rFonts w:asciiTheme="minorHAnsi" w:hAnsiTheme="minorHAnsi" w:eastAsiaTheme="minorEastAsia" w:cstheme="minorBidi"/>
          <w:kern w:val="2"/>
          <w:sz w:val="21"/>
          <w:szCs w:val="24"/>
          <w:lang w:val="en-US" w:eastAsia="zh-CN" w:bidi="ar-SA"/>
        </w:rPr>
      </w:pPr>
      <w:r>
        <w:rPr>
          <w:rFonts w:hint="eastAsia" w:ascii="Times New Roman" w:hAnsi="Times New Roman" w:eastAsia="宋体" w:cs="Times New Roman"/>
          <w:highlight w:val="none"/>
          <w:lang w:eastAsia="zh-CN"/>
        </w:rPr>
        <w:drawing>
          <wp:anchor distT="0" distB="0" distL="114300" distR="114300" simplePos="0" relativeHeight="251663360" behindDoc="0" locked="0" layoutInCell="1" allowOverlap="1">
            <wp:simplePos x="0" y="0"/>
            <wp:positionH relativeFrom="column">
              <wp:posOffset>-378460</wp:posOffset>
            </wp:positionH>
            <wp:positionV relativeFrom="paragraph">
              <wp:posOffset>183515</wp:posOffset>
            </wp:positionV>
            <wp:extent cx="6295390" cy="3093085"/>
            <wp:effectExtent l="0" t="0" r="13970" b="635"/>
            <wp:wrapNone/>
            <wp:docPr id="9"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图片2"/>
                    <pic:cNvPicPr>
                      <a:picLocks noChangeAspect="1"/>
                    </pic:cNvPicPr>
                  </pic:nvPicPr>
                  <pic:blipFill>
                    <a:blip r:embed="rId21"/>
                    <a:stretch>
                      <a:fillRect/>
                    </a:stretch>
                  </pic:blipFill>
                  <pic:spPr>
                    <a:xfrm>
                      <a:off x="0" y="0"/>
                      <a:ext cx="6295390" cy="3093085"/>
                    </a:xfrm>
                    <a:prstGeom prst="rect">
                      <a:avLst/>
                    </a:prstGeom>
                    <a:noFill/>
                    <a:ln>
                      <a:noFill/>
                    </a:ln>
                  </pic:spPr>
                </pic:pic>
              </a:graphicData>
            </a:graphic>
          </wp:anchor>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252"/>
        <w:tab w:val="right" w:pos="8306"/>
      </w:tabs>
      <w:snapToGrid w:val="0"/>
      <w:spacing w:line="520" w:lineRule="exact"/>
      <w:jc w:val="left"/>
      <w:rPr>
        <w:rFonts w:hint="eastAsia" w:ascii="Calibri" w:hAnsi="Calibri" w:eastAsia="宋体" w:cs="Times New Roman"/>
        <w:kern w:val="2"/>
        <w:sz w:val="21"/>
        <w:szCs w:val="21"/>
        <w:lang w:val="en-US" w:eastAsia="zh-CN" w:bidi="ar-S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widowControl w:val="0"/>
                            <w:tabs>
                              <w:tab w:val="center" w:pos="4153"/>
                              <w:tab w:val="right" w:pos="8306"/>
                            </w:tabs>
                            <w:snapToGrid w:val="0"/>
                            <w:spacing w:line="520" w:lineRule="exact"/>
                            <w:jc w:val="left"/>
                            <w:rPr>
                              <w:rFonts w:ascii="Calibri" w:hAnsi="Calibri" w:eastAsia="宋体" w:cs="Times New Roman"/>
                              <w:kern w:val="2"/>
                              <w:sz w:val="18"/>
                              <w:szCs w:val="22"/>
                              <w:lang w:val="en-US" w:eastAsia="zh-CN" w:bidi="ar-SA"/>
                            </w:rPr>
                          </w:pPr>
                          <w:r>
                            <w:rPr>
                              <w:rFonts w:ascii="Calibri" w:hAnsi="Calibri" w:eastAsia="宋体" w:cs="Times New Roman"/>
                              <w:kern w:val="2"/>
                              <w:sz w:val="18"/>
                              <w:szCs w:val="22"/>
                              <w:lang w:val="en-US" w:eastAsia="zh-CN" w:bidi="ar-SA"/>
                            </w:rPr>
                            <w:fldChar w:fldCharType="begin"/>
                          </w:r>
                          <w:r>
                            <w:rPr>
                              <w:rFonts w:ascii="Calibri" w:hAnsi="Calibri" w:eastAsia="宋体" w:cs="Times New Roman"/>
                              <w:kern w:val="2"/>
                              <w:sz w:val="18"/>
                              <w:szCs w:val="22"/>
                              <w:lang w:val="en-US" w:eastAsia="zh-CN" w:bidi="ar-SA"/>
                            </w:rPr>
                            <w:instrText xml:space="preserve"> PAGE  \* MERGEFORMAT </w:instrText>
                          </w:r>
                          <w:r>
                            <w:rPr>
                              <w:rFonts w:ascii="Calibri" w:hAnsi="Calibri" w:eastAsia="宋体" w:cs="Times New Roman"/>
                              <w:kern w:val="2"/>
                              <w:sz w:val="18"/>
                              <w:szCs w:val="22"/>
                              <w:lang w:val="en-US" w:eastAsia="zh-CN" w:bidi="ar-SA"/>
                            </w:rPr>
                            <w:fldChar w:fldCharType="separate"/>
                          </w:r>
                          <w:r>
                            <w:rPr>
                              <w:rFonts w:ascii="Calibri" w:hAnsi="Calibri" w:eastAsia="宋体" w:cs="Times New Roman"/>
                              <w:kern w:val="2"/>
                              <w:sz w:val="18"/>
                              <w:szCs w:val="22"/>
                              <w:lang w:val="en-US" w:eastAsia="zh-CN" w:bidi="ar-SA"/>
                            </w:rPr>
                            <w:t>3</w:t>
                          </w:r>
                          <w:r>
                            <w:rPr>
                              <w:rFonts w:ascii="Calibri" w:hAnsi="Calibri" w:eastAsia="宋体" w:cs="Times New Roman"/>
                              <w:kern w:val="2"/>
                              <w:sz w:val="18"/>
                              <w:szCs w:val="22"/>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pPr>
                      <w:widowControl w:val="0"/>
                      <w:tabs>
                        <w:tab w:val="center" w:pos="4153"/>
                        <w:tab w:val="right" w:pos="8306"/>
                      </w:tabs>
                      <w:snapToGrid w:val="0"/>
                      <w:spacing w:line="520" w:lineRule="exact"/>
                      <w:jc w:val="left"/>
                      <w:rPr>
                        <w:rFonts w:ascii="Calibri" w:hAnsi="Calibri" w:eastAsia="宋体" w:cs="Times New Roman"/>
                        <w:kern w:val="2"/>
                        <w:sz w:val="18"/>
                        <w:szCs w:val="22"/>
                        <w:lang w:val="en-US" w:eastAsia="zh-CN" w:bidi="ar-SA"/>
                      </w:rPr>
                    </w:pPr>
                    <w:r>
                      <w:rPr>
                        <w:rFonts w:ascii="Calibri" w:hAnsi="Calibri" w:eastAsia="宋体" w:cs="Times New Roman"/>
                        <w:kern w:val="2"/>
                        <w:sz w:val="18"/>
                        <w:szCs w:val="22"/>
                        <w:lang w:val="en-US" w:eastAsia="zh-CN" w:bidi="ar-SA"/>
                      </w:rPr>
                      <w:fldChar w:fldCharType="begin"/>
                    </w:r>
                    <w:r>
                      <w:rPr>
                        <w:rFonts w:ascii="Calibri" w:hAnsi="Calibri" w:eastAsia="宋体" w:cs="Times New Roman"/>
                        <w:kern w:val="2"/>
                        <w:sz w:val="18"/>
                        <w:szCs w:val="22"/>
                        <w:lang w:val="en-US" w:eastAsia="zh-CN" w:bidi="ar-SA"/>
                      </w:rPr>
                      <w:instrText xml:space="preserve"> PAGE  \* MERGEFORMAT </w:instrText>
                    </w:r>
                    <w:r>
                      <w:rPr>
                        <w:rFonts w:ascii="Calibri" w:hAnsi="Calibri" w:eastAsia="宋体" w:cs="Times New Roman"/>
                        <w:kern w:val="2"/>
                        <w:sz w:val="18"/>
                        <w:szCs w:val="22"/>
                        <w:lang w:val="en-US" w:eastAsia="zh-CN" w:bidi="ar-SA"/>
                      </w:rPr>
                      <w:fldChar w:fldCharType="separate"/>
                    </w:r>
                    <w:r>
                      <w:rPr>
                        <w:rFonts w:ascii="Calibri" w:hAnsi="Calibri" w:eastAsia="宋体" w:cs="Times New Roman"/>
                        <w:kern w:val="2"/>
                        <w:sz w:val="18"/>
                        <w:szCs w:val="22"/>
                        <w:lang w:val="en-US" w:eastAsia="zh-CN" w:bidi="ar-SA"/>
                      </w:rPr>
                      <w:t>3</w:t>
                    </w:r>
                    <w:r>
                      <w:rPr>
                        <w:rFonts w:ascii="Calibri" w:hAnsi="Calibri" w:eastAsia="宋体" w:cs="Times New Roman"/>
                        <w:kern w:val="2"/>
                        <w:sz w:val="18"/>
                        <w:szCs w:val="22"/>
                        <w:lang w:val="en-US" w:eastAsia="zh-CN" w:bidi="ar-SA"/>
                      </w:rPr>
                      <w:fldChar w:fldCharType="end"/>
                    </w:r>
                  </w:p>
                </w:txbxContent>
              </v:textbox>
            </v:shape>
          </w:pict>
        </mc:Fallback>
      </mc:AlternateContent>
    </w:r>
    <w:r>
      <w:rPr>
        <w:rFonts w:hint="eastAsia" w:ascii="Calibri" w:hAnsi="Calibri" w:eastAsia="宋体" w:cs="Times New Roman"/>
        <w:kern w:val="2"/>
        <w:sz w:val="21"/>
        <w:szCs w:val="21"/>
        <w:lang w:val="en-US" w:eastAsia="zh-CN" w:bidi="ar-S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252"/>
        <w:tab w:val="right" w:pos="8306"/>
      </w:tabs>
      <w:snapToGrid w:val="0"/>
      <w:spacing w:line="520" w:lineRule="exact"/>
      <w:jc w:val="left"/>
      <w:rPr>
        <w:rFonts w:hint="eastAsia" w:ascii="Calibri" w:hAnsi="Calibri" w:eastAsia="宋体" w:cs="Times New Roman"/>
        <w:kern w:val="2"/>
        <w:sz w:val="21"/>
        <w:szCs w:val="21"/>
        <w:lang w:val="en-US" w:eastAsia="zh-CN" w:bidi="ar-S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widowControl w:val="0"/>
                            <w:tabs>
                              <w:tab w:val="center" w:pos="4153"/>
                              <w:tab w:val="right" w:pos="8306"/>
                            </w:tabs>
                            <w:snapToGrid w:val="0"/>
                            <w:spacing w:line="520" w:lineRule="exact"/>
                            <w:jc w:val="left"/>
                            <w:rPr>
                              <w:rFonts w:ascii="Calibri" w:hAnsi="Calibri" w:eastAsia="宋体" w:cs="Times New Roman"/>
                              <w:kern w:val="2"/>
                              <w:sz w:val="18"/>
                              <w:szCs w:val="22"/>
                              <w:lang w:val="en-US" w:eastAsia="zh-CN" w:bidi="ar-SA"/>
                            </w:rPr>
                          </w:pPr>
                          <w:r>
                            <w:rPr>
                              <w:rFonts w:ascii="Calibri" w:hAnsi="Calibri" w:eastAsia="宋体" w:cs="Times New Roman"/>
                              <w:kern w:val="2"/>
                              <w:sz w:val="18"/>
                              <w:szCs w:val="22"/>
                              <w:lang w:val="en-US" w:eastAsia="zh-CN" w:bidi="ar-SA"/>
                            </w:rPr>
                            <w:fldChar w:fldCharType="begin"/>
                          </w:r>
                          <w:r>
                            <w:rPr>
                              <w:rFonts w:ascii="Calibri" w:hAnsi="Calibri" w:eastAsia="宋体" w:cs="Times New Roman"/>
                              <w:kern w:val="2"/>
                              <w:sz w:val="18"/>
                              <w:szCs w:val="22"/>
                              <w:lang w:val="en-US" w:eastAsia="zh-CN" w:bidi="ar-SA"/>
                            </w:rPr>
                            <w:instrText xml:space="preserve"> PAGE  \* MERGEFORMAT </w:instrText>
                          </w:r>
                          <w:r>
                            <w:rPr>
                              <w:rFonts w:ascii="Calibri" w:hAnsi="Calibri" w:eastAsia="宋体" w:cs="Times New Roman"/>
                              <w:kern w:val="2"/>
                              <w:sz w:val="18"/>
                              <w:szCs w:val="22"/>
                              <w:lang w:val="en-US" w:eastAsia="zh-CN" w:bidi="ar-SA"/>
                            </w:rPr>
                            <w:fldChar w:fldCharType="separate"/>
                          </w:r>
                          <w:r>
                            <w:rPr>
                              <w:rFonts w:ascii="Calibri" w:hAnsi="Calibri" w:eastAsia="宋体" w:cs="Times New Roman"/>
                              <w:kern w:val="2"/>
                              <w:sz w:val="18"/>
                              <w:szCs w:val="22"/>
                              <w:lang w:val="en-US" w:eastAsia="zh-CN" w:bidi="ar-SA"/>
                            </w:rPr>
                            <w:t>3</w:t>
                          </w:r>
                          <w:r>
                            <w:rPr>
                              <w:rFonts w:ascii="Calibri" w:hAnsi="Calibri" w:eastAsia="宋体" w:cs="Times New Roman"/>
                              <w:kern w:val="2"/>
                              <w:sz w:val="18"/>
                              <w:szCs w:val="22"/>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KHrXp80BAACpAwAADgAAAAAAAAABACAAAAAeAQAAZHJzL2Uy&#10;b0RvYy54bWxQSwUGAAAAAAYABgBZAQAAXQUAAAAA&#10;">
              <v:fill on="f" focussize="0,0"/>
              <v:stroke on="f"/>
              <v:imagedata o:title=""/>
              <o:lock v:ext="edit" aspectratio="f"/>
              <v:textbox inset="0mm,0mm,0mm,0mm" style="mso-fit-shape-to-text:t;">
                <w:txbxContent>
                  <w:p>
                    <w:pPr>
                      <w:widowControl w:val="0"/>
                      <w:tabs>
                        <w:tab w:val="center" w:pos="4153"/>
                        <w:tab w:val="right" w:pos="8306"/>
                      </w:tabs>
                      <w:snapToGrid w:val="0"/>
                      <w:spacing w:line="520" w:lineRule="exact"/>
                      <w:jc w:val="left"/>
                      <w:rPr>
                        <w:rFonts w:ascii="Calibri" w:hAnsi="Calibri" w:eastAsia="宋体" w:cs="Times New Roman"/>
                        <w:kern w:val="2"/>
                        <w:sz w:val="18"/>
                        <w:szCs w:val="22"/>
                        <w:lang w:val="en-US" w:eastAsia="zh-CN" w:bidi="ar-SA"/>
                      </w:rPr>
                    </w:pPr>
                    <w:r>
                      <w:rPr>
                        <w:rFonts w:ascii="Calibri" w:hAnsi="Calibri" w:eastAsia="宋体" w:cs="Times New Roman"/>
                        <w:kern w:val="2"/>
                        <w:sz w:val="18"/>
                        <w:szCs w:val="22"/>
                        <w:lang w:val="en-US" w:eastAsia="zh-CN" w:bidi="ar-SA"/>
                      </w:rPr>
                      <w:fldChar w:fldCharType="begin"/>
                    </w:r>
                    <w:r>
                      <w:rPr>
                        <w:rFonts w:ascii="Calibri" w:hAnsi="Calibri" w:eastAsia="宋体" w:cs="Times New Roman"/>
                        <w:kern w:val="2"/>
                        <w:sz w:val="18"/>
                        <w:szCs w:val="22"/>
                        <w:lang w:val="en-US" w:eastAsia="zh-CN" w:bidi="ar-SA"/>
                      </w:rPr>
                      <w:instrText xml:space="preserve"> PAGE  \* MERGEFORMAT </w:instrText>
                    </w:r>
                    <w:r>
                      <w:rPr>
                        <w:rFonts w:ascii="Calibri" w:hAnsi="Calibri" w:eastAsia="宋体" w:cs="Times New Roman"/>
                        <w:kern w:val="2"/>
                        <w:sz w:val="18"/>
                        <w:szCs w:val="22"/>
                        <w:lang w:val="en-US" w:eastAsia="zh-CN" w:bidi="ar-SA"/>
                      </w:rPr>
                      <w:fldChar w:fldCharType="separate"/>
                    </w:r>
                    <w:r>
                      <w:rPr>
                        <w:rFonts w:ascii="Calibri" w:hAnsi="Calibri" w:eastAsia="宋体" w:cs="Times New Roman"/>
                        <w:kern w:val="2"/>
                        <w:sz w:val="18"/>
                        <w:szCs w:val="22"/>
                        <w:lang w:val="en-US" w:eastAsia="zh-CN" w:bidi="ar-SA"/>
                      </w:rPr>
                      <w:t>3</w:t>
                    </w:r>
                    <w:r>
                      <w:rPr>
                        <w:rFonts w:ascii="Calibri" w:hAnsi="Calibri" w:eastAsia="宋体" w:cs="Times New Roman"/>
                        <w:kern w:val="2"/>
                        <w:sz w:val="18"/>
                        <w:szCs w:val="22"/>
                        <w:lang w:val="en-US" w:eastAsia="zh-CN" w:bidi="ar-SA"/>
                      </w:rPr>
                      <w:fldChar w:fldCharType="end"/>
                    </w:r>
                  </w:p>
                </w:txbxContent>
              </v:textbox>
            </v:shape>
          </w:pict>
        </mc:Fallback>
      </mc:AlternateContent>
    </w:r>
    <w:r>
      <w:rPr>
        <w:rFonts w:hint="eastAsia" w:ascii="Calibri" w:hAnsi="Calibri" w:eastAsia="宋体" w:cs="Times New Roman"/>
        <w:kern w:val="2"/>
        <w:sz w:val="21"/>
        <w:szCs w:val="21"/>
        <w:lang w:val="en-US" w:eastAsia="zh-CN" w:bidi="ar-S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ZjXE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zZjXE5AgAAcQQAAA4AAAAAAAAAAQAgAAAAHwEAAGRycy9lMm9Eb2Mu&#10;eG1sUEsFBgAAAAAGAAYAWQEAAMo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252"/>
        <w:tab w:val="right" w:pos="8306"/>
      </w:tabs>
      <w:snapToGrid w:val="0"/>
      <w:spacing w:line="520" w:lineRule="exact"/>
      <w:jc w:val="left"/>
      <w:rPr>
        <w:rFonts w:hint="eastAsia" w:ascii="Calibri" w:hAnsi="Calibri" w:eastAsia="宋体" w:cs="Times New Roman"/>
        <w:kern w:val="2"/>
        <w:sz w:val="21"/>
        <w:szCs w:val="21"/>
        <w:lang w:val="en-US" w:eastAsia="zh-CN" w:bidi="ar-SA"/>
      </w:rP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widowControl w:val="0"/>
                            <w:tabs>
                              <w:tab w:val="center" w:pos="4153"/>
                              <w:tab w:val="right" w:pos="8306"/>
                            </w:tabs>
                            <w:snapToGrid w:val="0"/>
                            <w:spacing w:line="520" w:lineRule="exact"/>
                            <w:jc w:val="left"/>
                            <w:rPr>
                              <w:rFonts w:ascii="Calibri" w:hAnsi="Calibri" w:eastAsia="宋体" w:cs="Times New Roman"/>
                              <w:kern w:val="2"/>
                              <w:sz w:val="18"/>
                              <w:szCs w:val="22"/>
                              <w:lang w:val="en-US" w:eastAsia="zh-CN" w:bidi="ar-SA"/>
                            </w:rPr>
                          </w:pPr>
                          <w:r>
                            <w:rPr>
                              <w:rFonts w:ascii="Calibri" w:hAnsi="Calibri" w:eastAsia="宋体" w:cs="Times New Roman"/>
                              <w:kern w:val="2"/>
                              <w:sz w:val="18"/>
                              <w:szCs w:val="22"/>
                              <w:lang w:val="en-US" w:eastAsia="zh-CN" w:bidi="ar-SA"/>
                            </w:rPr>
                            <w:fldChar w:fldCharType="begin"/>
                          </w:r>
                          <w:r>
                            <w:rPr>
                              <w:rFonts w:ascii="Calibri" w:hAnsi="Calibri" w:eastAsia="宋体" w:cs="Times New Roman"/>
                              <w:kern w:val="2"/>
                              <w:sz w:val="18"/>
                              <w:szCs w:val="22"/>
                              <w:lang w:val="en-US" w:eastAsia="zh-CN" w:bidi="ar-SA"/>
                            </w:rPr>
                            <w:instrText xml:space="preserve"> PAGE  \* MERGEFORMAT </w:instrText>
                          </w:r>
                          <w:r>
                            <w:rPr>
                              <w:rFonts w:ascii="Calibri" w:hAnsi="Calibri" w:eastAsia="宋体" w:cs="Times New Roman"/>
                              <w:kern w:val="2"/>
                              <w:sz w:val="18"/>
                              <w:szCs w:val="22"/>
                              <w:lang w:val="en-US" w:eastAsia="zh-CN" w:bidi="ar-SA"/>
                            </w:rPr>
                            <w:fldChar w:fldCharType="separate"/>
                          </w:r>
                          <w:r>
                            <w:rPr>
                              <w:rFonts w:ascii="Calibri" w:hAnsi="Calibri" w:eastAsia="宋体" w:cs="Times New Roman"/>
                              <w:kern w:val="2"/>
                              <w:sz w:val="18"/>
                              <w:szCs w:val="22"/>
                              <w:lang w:val="en-US" w:eastAsia="zh-CN" w:bidi="ar-SA"/>
                            </w:rPr>
                            <w:t>3</w:t>
                          </w:r>
                          <w:r>
                            <w:rPr>
                              <w:rFonts w:ascii="Calibri" w:hAnsi="Calibri" w:eastAsia="宋体" w:cs="Times New Roman"/>
                              <w:kern w:val="2"/>
                              <w:sz w:val="18"/>
                              <w:szCs w:val="22"/>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CX2GkzAEAAKcDAAAOAAAAAAAAAAEAIAAAAB4BAABkcnMvZTJv&#10;RG9jLnhtbFBLBQYAAAAABgAGAFkBAABcBQAAAAA=&#10;">
              <v:fill on="f" focussize="0,0"/>
              <v:stroke on="f"/>
              <v:imagedata o:title=""/>
              <o:lock v:ext="edit" aspectratio="f"/>
              <v:textbox inset="0mm,0mm,0mm,0mm" style="mso-fit-shape-to-text:t;">
                <w:txbxContent>
                  <w:p>
                    <w:pPr>
                      <w:widowControl w:val="0"/>
                      <w:tabs>
                        <w:tab w:val="center" w:pos="4153"/>
                        <w:tab w:val="right" w:pos="8306"/>
                      </w:tabs>
                      <w:snapToGrid w:val="0"/>
                      <w:spacing w:line="520" w:lineRule="exact"/>
                      <w:jc w:val="left"/>
                      <w:rPr>
                        <w:rFonts w:ascii="Calibri" w:hAnsi="Calibri" w:eastAsia="宋体" w:cs="Times New Roman"/>
                        <w:kern w:val="2"/>
                        <w:sz w:val="18"/>
                        <w:szCs w:val="22"/>
                        <w:lang w:val="en-US" w:eastAsia="zh-CN" w:bidi="ar-SA"/>
                      </w:rPr>
                    </w:pPr>
                    <w:r>
                      <w:rPr>
                        <w:rFonts w:ascii="Calibri" w:hAnsi="Calibri" w:eastAsia="宋体" w:cs="Times New Roman"/>
                        <w:kern w:val="2"/>
                        <w:sz w:val="18"/>
                        <w:szCs w:val="22"/>
                        <w:lang w:val="en-US" w:eastAsia="zh-CN" w:bidi="ar-SA"/>
                      </w:rPr>
                      <w:fldChar w:fldCharType="begin"/>
                    </w:r>
                    <w:r>
                      <w:rPr>
                        <w:rFonts w:ascii="Calibri" w:hAnsi="Calibri" w:eastAsia="宋体" w:cs="Times New Roman"/>
                        <w:kern w:val="2"/>
                        <w:sz w:val="18"/>
                        <w:szCs w:val="22"/>
                        <w:lang w:val="en-US" w:eastAsia="zh-CN" w:bidi="ar-SA"/>
                      </w:rPr>
                      <w:instrText xml:space="preserve"> PAGE  \* MERGEFORMAT </w:instrText>
                    </w:r>
                    <w:r>
                      <w:rPr>
                        <w:rFonts w:ascii="Calibri" w:hAnsi="Calibri" w:eastAsia="宋体" w:cs="Times New Roman"/>
                        <w:kern w:val="2"/>
                        <w:sz w:val="18"/>
                        <w:szCs w:val="22"/>
                        <w:lang w:val="en-US" w:eastAsia="zh-CN" w:bidi="ar-SA"/>
                      </w:rPr>
                      <w:fldChar w:fldCharType="separate"/>
                    </w:r>
                    <w:r>
                      <w:rPr>
                        <w:rFonts w:ascii="Calibri" w:hAnsi="Calibri" w:eastAsia="宋体" w:cs="Times New Roman"/>
                        <w:kern w:val="2"/>
                        <w:sz w:val="18"/>
                        <w:szCs w:val="22"/>
                        <w:lang w:val="en-US" w:eastAsia="zh-CN" w:bidi="ar-SA"/>
                      </w:rPr>
                      <w:t>3</w:t>
                    </w:r>
                    <w:r>
                      <w:rPr>
                        <w:rFonts w:ascii="Calibri" w:hAnsi="Calibri" w:eastAsia="宋体" w:cs="Times New Roman"/>
                        <w:kern w:val="2"/>
                        <w:sz w:val="18"/>
                        <w:szCs w:val="22"/>
                        <w:lang w:val="en-US" w:eastAsia="zh-CN" w:bidi="ar-SA"/>
                      </w:rPr>
                      <w:fldChar w:fldCharType="end"/>
                    </w:r>
                  </w:p>
                </w:txbxContent>
              </v:textbox>
            </v:shape>
          </w:pict>
        </mc:Fallback>
      </mc:AlternateContent>
    </w:r>
    <w:r>
      <w:rPr>
        <w:rFonts w:hint="eastAsia" w:ascii="Calibri" w:hAnsi="Calibri" w:eastAsia="宋体" w:cs="Times New Roman"/>
        <w:kern w:val="2"/>
        <w:sz w:val="21"/>
        <w:szCs w:val="21"/>
        <w:lang w:val="en-US" w:eastAsia="zh-CN" w:bidi="ar-S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213D50"/>
    <w:multiLevelType w:val="singleLevel"/>
    <w:tmpl w:val="85213D50"/>
    <w:lvl w:ilvl="0" w:tentative="0">
      <w:start w:val="2"/>
      <w:numFmt w:val="decimal"/>
      <w:lvlText w:val="%1."/>
      <w:lvlJc w:val="left"/>
      <w:pPr>
        <w:tabs>
          <w:tab w:val="left" w:pos="312"/>
        </w:tabs>
      </w:pPr>
    </w:lvl>
  </w:abstractNum>
  <w:abstractNum w:abstractNumId="1">
    <w:nsid w:val="F1AABBA7"/>
    <w:multiLevelType w:val="singleLevel"/>
    <w:tmpl w:val="F1AABBA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3Yzc2MzY4NzBiNjc4OTBjMjg2OGJiMDYwMTk3OTYifQ=="/>
  </w:docVars>
  <w:rsids>
    <w:rsidRoot w:val="339F263D"/>
    <w:rsid w:val="339F26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20" w:lineRule="exact"/>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6" w:lineRule="auto"/>
      <w:outlineLvl w:val="0"/>
    </w:pPr>
    <w:rPr>
      <w:rFonts w:ascii="Times New Roman" w:hAnsi="Times New Roman"/>
      <w:b/>
      <w:kern w:val="44"/>
      <w:sz w:val="44"/>
      <w:szCs w:val="20"/>
    </w:rPr>
  </w:style>
  <w:style w:type="character" w:default="1" w:styleId="10">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无间隔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Body Text"/>
    <w:basedOn w:val="1"/>
    <w:next w:val="5"/>
    <w:qFormat/>
    <w:uiPriority w:val="1"/>
    <w:rPr>
      <w:rFonts w:ascii="宋体" w:hAnsi="宋体" w:cs="宋体"/>
      <w:szCs w:val="21"/>
      <w:lang w:val="zh-CN" w:bidi="zh-CN"/>
    </w:rPr>
  </w:style>
  <w:style w:type="paragraph" w:styleId="5">
    <w:name w:val="Date"/>
    <w:basedOn w:val="1"/>
    <w:next w:val="1"/>
    <w:qFormat/>
    <w:uiPriority w:val="0"/>
    <w:pPr>
      <w:ind w:left="100" w:leftChars="2500"/>
    </w:pPr>
    <w:rPr>
      <w:sz w:val="28"/>
    </w:rPr>
  </w:style>
  <w:style w:type="paragraph" w:styleId="6">
    <w:name w:val="footer"/>
    <w:basedOn w:val="1"/>
    <w:qFormat/>
    <w:uiPriority w:val="0"/>
    <w:pPr>
      <w:tabs>
        <w:tab w:val="center" w:pos="4153"/>
        <w:tab w:val="right" w:pos="8306"/>
      </w:tabs>
      <w:snapToGrid w:val="0"/>
      <w:jc w:val="left"/>
    </w:pPr>
    <w:rPr>
      <w:sz w:val="18"/>
    </w:rPr>
  </w:style>
  <w:style w:type="paragraph" w:styleId="7">
    <w:name w:val="toc 1"/>
    <w:basedOn w:val="1"/>
    <w:next w:val="3"/>
    <w:qFormat/>
    <w:uiPriority w:val="39"/>
  </w:style>
  <w:style w:type="paragraph" w:styleId="8">
    <w:name w:val="Body Text First Indent"/>
    <w:qFormat/>
    <w:uiPriority w:val="0"/>
    <w:pPr>
      <w:widowControl w:val="0"/>
      <w:spacing w:after="120"/>
      <w:ind w:firstLine="420" w:firstLineChars="100"/>
      <w:jc w:val="both"/>
    </w:pPr>
    <w:rPr>
      <w:rFonts w:ascii="宋体" w:hAnsi="宋体" w:eastAsia="宋体" w:cs="Times New Roman"/>
      <w:kern w:val="2"/>
      <w:sz w:val="21"/>
      <w:szCs w:val="22"/>
      <w:lang w:val="en-US" w:eastAsia="zh-CN" w:bidi="ar-SA"/>
    </w:rPr>
  </w:style>
  <w:style w:type="character" w:styleId="11">
    <w:name w:val="Hyperlink"/>
    <w:basedOn w:val="10"/>
    <w:qFormat/>
    <w:uiPriority w:val="99"/>
    <w:rPr>
      <w:color w:val="0000FF"/>
      <w:u w:val="single"/>
    </w:rPr>
  </w:style>
  <w:style w:type="paragraph" w:customStyle="1" w:styleId="12">
    <w:name w:val="_Style 6"/>
    <w:next w:val="13"/>
    <w:qFormat/>
    <w:uiPriority w:val="34"/>
    <w:pPr>
      <w:widowControl w:val="0"/>
      <w:spacing w:line="360" w:lineRule="auto"/>
      <w:ind w:firstLine="420" w:firstLineChars="200"/>
      <w:jc w:val="both"/>
    </w:pPr>
    <w:rPr>
      <w:rFonts w:ascii="Times New Roman" w:hAnsi="Times New Roman" w:eastAsia="宋体" w:cs="Times New Roman"/>
      <w:kern w:val="2"/>
      <w:sz w:val="21"/>
      <w:szCs w:val="21"/>
      <w:lang w:val="en-US" w:eastAsia="zh-CN" w:bidi="ar-SA"/>
    </w:rPr>
  </w:style>
  <w:style w:type="paragraph" w:styleId="13">
    <w:name w:val="List Paragraph"/>
    <w:basedOn w:val="1"/>
    <w:autoRedefine/>
    <w:qFormat/>
    <w:uiPriority w:val="0"/>
    <w:pPr>
      <w:ind w:firstLine="420" w:firstLineChars="200"/>
    </w:pPr>
    <w:rPr>
      <w:rFonts w:asciiTheme="minorHAnsi" w:hAnsiTheme="minorHAnsi" w:eastAsiaTheme="minorEastAsia" w:cstheme="minorBidi"/>
      <w:szCs w:val="28"/>
      <w:lang w:bidi="mn-Mong-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2024-02-29T06:53:00Z</dcterms:created>
  <dc:creator>王国山</dc:creator>
  <cp:lastModifiedBy>王国山</cp:lastModifiedBy>
  <dcterms:modified xsi:type="dcterms:W3CDTF">2024-02-29T06:54:23Z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222DC05554534261B6FC3CD885BD8253_11</vt:lpwstr>
  </property>
</Properties>
</file>