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color w:val="auto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：标段划分表</w:t>
      </w:r>
    </w:p>
    <w:tbl>
      <w:tblPr>
        <w:tblStyle w:val="7"/>
        <w:tblW w:w="5732" w:type="pct"/>
        <w:tblInd w:w="-819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550"/>
        <w:gridCol w:w="990"/>
        <w:gridCol w:w="904"/>
        <w:gridCol w:w="396"/>
        <w:gridCol w:w="590"/>
        <w:gridCol w:w="1040"/>
        <w:gridCol w:w="380"/>
        <w:gridCol w:w="370"/>
        <w:gridCol w:w="990"/>
        <w:gridCol w:w="910"/>
        <w:gridCol w:w="551"/>
        <w:gridCol w:w="590"/>
        <w:gridCol w:w="1889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内蒙古电力（集团）有限责任公司2021年固定资产投资项目信息工程第三批设备询比采购（后审）项目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如技术规范书中设备交货时间与本表中时间不一致，以本表中交货时间为准。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2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标段号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建设单位</w:t>
            </w: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设备属性</w:t>
            </w: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 xml:space="preserve">单价最高限价 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(元)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标段最高限价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（元）</w:t>
            </w:r>
          </w:p>
        </w:tc>
        <w:tc>
          <w:tcPr>
            <w:tcW w:w="2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交货时间</w:t>
            </w: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交货地点</w:t>
            </w:r>
          </w:p>
        </w:tc>
        <w:tc>
          <w:tcPr>
            <w:tcW w:w="8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专用资格要求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</w:trPr>
        <w:tc>
          <w:tcPr>
            <w:tcW w:w="21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2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安全设备</w:t>
            </w:r>
          </w:p>
        </w:tc>
        <w:tc>
          <w:tcPr>
            <w:tcW w:w="46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内蒙古电力（集团）有限责任公司锡林郭勒电业局</w:t>
            </w:r>
          </w:p>
        </w:tc>
        <w:tc>
          <w:tcPr>
            <w:tcW w:w="4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资本性信息内、外网安全管理升级改造</w:t>
            </w:r>
          </w:p>
        </w:tc>
        <w:tc>
          <w:tcPr>
            <w:tcW w:w="18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货物</w:t>
            </w: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入侵防御系统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入侵防御系统,4Gbps,2个万兆,8个千兆</w:t>
            </w:r>
          </w:p>
        </w:tc>
        <w:tc>
          <w:tcPr>
            <w:tcW w:w="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台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163500</w:t>
            </w:r>
          </w:p>
        </w:tc>
        <w:tc>
          <w:tcPr>
            <w:tcW w:w="42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635000</w:t>
            </w:r>
          </w:p>
        </w:tc>
        <w:tc>
          <w:tcPr>
            <w:tcW w:w="25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2021年8月30日</w:t>
            </w:r>
          </w:p>
        </w:tc>
        <w:tc>
          <w:tcPr>
            <w:tcW w:w="27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89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、所投产品（网络入侵防御类设备或运维审计与风险控制系统类设备）经第三方权威检测机构（国家认证认可监督管理委员会/省级质量技术监督部门认证或经中国合格评定国家认可委员会认可）出具的型式试验报告或检验报告。【提供产品型式试验报告或检验报告】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、所投产品（网络入侵防御类设备或运维审计与风险控制系统类设备）近五年(自2016年06月01日至今)有销售业绩（提供加盖公章的合同扫描件及对应发票原件扫描件，合同内容至少应包括合同首页、服务内容、签订日期及双方签字盖章等内容）；</w:t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3、接受制造商或代理商投标，同一制造商只能授权一家代理商参与投标。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</w:trPr>
        <w:tc>
          <w:tcPr>
            <w:tcW w:w="21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6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8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运维审计与风险控制系统设备</w:t>
            </w:r>
          </w:p>
        </w:tc>
        <w:tc>
          <w:tcPr>
            <w:tcW w:w="4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运维审计与风险控制系统设备</w:t>
            </w:r>
          </w:p>
        </w:tc>
        <w:tc>
          <w:tcPr>
            <w:tcW w:w="1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1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4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154000</w:t>
            </w:r>
          </w:p>
        </w:tc>
        <w:tc>
          <w:tcPr>
            <w:tcW w:w="42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5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27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89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left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</w:tr>
    </w:tbl>
    <w:p>
      <w:pPr>
        <w:pStyle w:val="6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6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br w:type="page"/>
      </w:r>
    </w:p>
    <w:p>
      <w:pPr>
        <w:pStyle w:val="6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ONUeiNgIAAHcEAAAOAAAAZHJzL2Uyb0RvYy54bWyt&#10;VM2O0zAQviPxDpbvbJquli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zigxoLHhN18+/br+/PPr95sf38gsKdS7UGHglbv0oxfQTHSHxuv0RSJkyKruDqqKIRKGi9PTWTmb&#10;nlHCcK88PS9LdBCnuE13PsSXwmqSjJp6uzH8LfYuSwrbVyFmbflYIfAPlDRaYae2oEjuIqKNgWj9&#10;wUtZwSrJV1Kp7Ph2/Vx5gmk1XeVnLOVemDKkr+mzs1w14JA3OFxIQDsUKpg213UvI9wFnuTnX8Cp&#10;sCWEbl8ARytFQdUJ4C8MJ3HnsAMGLx5NFWjBKVEC72mycmQEqY6JRBWUSdAi3wKUMEmeOrnvXbLi&#10;sB5wNZlry3c4CPhfQP076z9SAoahUVMkvnFeth3ulJlUSsB5zC0c704a+Lt+Puv2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AONUei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ozJ7qDcCAAB3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J5TbHt&#10;BjQ2/ObLp1/Xn39+/X7z4xs5Twr1LlQYeOUu/egFNBPdofE6vZEIGbKqu4OqYoiE4eLs5Kw8m51S&#10;wnCvPDkvS3QQp7hNdz7El8Jqkoyaersx/C32LksK21chZm35WCHwD5Q0WmGntqBI7iKijYFo/cFL&#10;WcEqyVdSqez4dv1ceYJpNV3l31jKvTBlSF/TZ6e5asAhb3C4kIB2KFQwba7rXka4Czxdpv+/gFNh&#10;SwjdvgCOVoqCqhPAXxhO4s5hBwxePJoq0IJTogTe02TlyAhSHROJKiiToEW+BShhkjx1ct+7ZMVh&#10;PeBqMteW73AQ8LuA+nfWf6QEDEOjpkh847xsO9wpM6mUgPOYWzjenTTwd/181u33Yv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KMye6g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QoyQ03AgAAdw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eU1n&#10;lBjQ2PCbL59+XX/++fX7zY9vZJYU6l2oMPDKXfrRC2gmukPjdXojETJkVXcHVcUQCcPF2clZeTY7&#10;pYThXnlyXpboIE5xm+58iC+F1SQZNfV2Y/hb7F2WFLavQsza8rFC4B8oabTCTm1BkdxFRBsD0fqD&#10;l7KCVZKvpFLZ8e36ufIE02q6yr+xlHthypC+ps9Oc9WAQ97gcCEB7VCoYNpc172McBd4ukz/fwGn&#10;wpYQun0BHK0UBVUngL8wnMSdww4YvHg0VaAFp0QJvKfJypERpDomElVQJkGLfAtQwiR56uS+d8mK&#10;w3rA1WSuLd/hIOB3AfXvrP9ICRiGRk2R+MZ52Xa4U2ZSKQHnMbdwvDtp4O/6+azb78X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AkKMkN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u w:val="singl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6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 w:start="1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4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84455</wp:posOffset>
            </wp:positionV>
            <wp:extent cx="5272405" cy="3021965"/>
            <wp:effectExtent l="0" t="0" r="4445" b="6985"/>
            <wp:wrapSquare wrapText="bothSides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637530" cy="2900680"/>
            <wp:effectExtent l="0" t="0" r="1270" b="1397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20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1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20991"/>
      <w:bookmarkStart w:id="1" w:name="_Toc23249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22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2" w:name="_Toc30755"/>
      <w:bookmarkStart w:id="3" w:name="_Toc26673"/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86360</wp:posOffset>
            </wp:positionV>
            <wp:extent cx="5435600" cy="3102610"/>
            <wp:effectExtent l="0" t="0" r="12700" b="2540"/>
            <wp:wrapTopAndBottom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：《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响应真实性承诺函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》</w:t>
      </w:r>
      <w:bookmarkEnd w:id="2"/>
      <w:bookmarkEnd w:id="3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响应真实性承诺函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6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附件五：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议</w:t>
      </w:r>
      <w:r>
        <w:rPr>
          <w:rFonts w:hint="eastAsia" w:hAnsi="宋体" w:cs="宋体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textAlignment w:val="auto"/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highlight w:val="white"/>
          <w:lang w:val="en-US" w:eastAsia="zh-CN" w:bidi="ar-SA"/>
        </w:r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497EE3"/>
    <w:rsid w:val="7049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footer"/>
    <w:basedOn w:val="1"/>
    <w:next w:val="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 First Indent 2"/>
    <w:basedOn w:val="3"/>
    <w:unhideWhenUsed/>
    <w:qFormat/>
    <w:uiPriority w:val="99"/>
    <w:pPr>
      <w:ind w:firstLine="42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2021-06-08T10:11:00Z</dcterms:created>
  <dc:creator>神经蛙</dc:creator>
  <cp:lastModifiedBy>神经蛙</cp:lastModifiedBy>
  <dcterms:modified xsi:type="dcterms:W3CDTF">2021-06-08T10:12:56Z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3E41F228364641499D673194F71194DB</vt:lpwstr>
  </property>
</Properties>
</file>